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7D40E9" w14:textId="4AF88127" w:rsidR="00224365" w:rsidRPr="00B04371" w:rsidRDefault="000B0DB6" w:rsidP="00170CB9">
      <w:pPr>
        <w:jc w:val="center"/>
        <w:rPr>
          <w:rFonts w:asciiTheme="majorHAnsi" w:hAnsiTheme="majorHAnsi" w:cstheme="majorHAnsi"/>
          <w:b/>
          <w:bCs/>
          <w:u w:val="single"/>
        </w:rPr>
      </w:pPr>
      <w:r w:rsidRPr="00B04371">
        <w:rPr>
          <w:rFonts w:asciiTheme="majorHAnsi" w:hAnsiTheme="majorHAnsi" w:cstheme="majorHAnsi"/>
          <w:b/>
          <w:bCs/>
          <w:u w:val="single"/>
        </w:rPr>
        <w:t>202</w:t>
      </w:r>
      <w:r w:rsidR="00476446">
        <w:rPr>
          <w:rFonts w:asciiTheme="majorHAnsi" w:hAnsiTheme="majorHAnsi" w:cstheme="majorHAnsi"/>
          <w:b/>
          <w:bCs/>
          <w:u w:val="single"/>
        </w:rPr>
        <w:t>5</w:t>
      </w:r>
      <w:r w:rsidRPr="00B04371">
        <w:rPr>
          <w:rFonts w:asciiTheme="majorHAnsi" w:hAnsiTheme="majorHAnsi" w:cstheme="majorHAnsi"/>
          <w:b/>
          <w:bCs/>
          <w:u w:val="single"/>
        </w:rPr>
        <w:t xml:space="preserve"> </w:t>
      </w:r>
      <w:r w:rsidR="00F20622" w:rsidRPr="00B04371">
        <w:rPr>
          <w:rFonts w:asciiTheme="majorHAnsi" w:hAnsiTheme="majorHAnsi" w:cstheme="majorHAnsi"/>
          <w:b/>
          <w:bCs/>
          <w:u w:val="single"/>
        </w:rPr>
        <w:t xml:space="preserve">Town of Rye </w:t>
      </w:r>
      <w:r w:rsidR="00B841B6" w:rsidRPr="00B04371">
        <w:rPr>
          <w:rFonts w:asciiTheme="majorHAnsi" w:hAnsiTheme="majorHAnsi" w:cstheme="majorHAnsi"/>
          <w:b/>
          <w:bCs/>
          <w:u w:val="single"/>
        </w:rPr>
        <w:t>Approved</w:t>
      </w:r>
      <w:r w:rsidR="00F20622" w:rsidRPr="00B04371">
        <w:rPr>
          <w:rFonts w:asciiTheme="majorHAnsi" w:hAnsiTheme="majorHAnsi" w:cstheme="majorHAnsi"/>
          <w:b/>
          <w:bCs/>
          <w:u w:val="single"/>
        </w:rPr>
        <w:t xml:space="preserve"> Water and Sewer Rate </w:t>
      </w:r>
    </w:p>
    <w:p w14:paraId="7BBAA288" w14:textId="77777777" w:rsidR="00170CB9" w:rsidRPr="00B04371" w:rsidRDefault="00170CB9" w:rsidP="00170CB9">
      <w:pPr>
        <w:jc w:val="center"/>
        <w:rPr>
          <w:rFonts w:asciiTheme="majorHAnsi" w:hAnsiTheme="majorHAnsi" w:cstheme="majorHAnsi"/>
          <w:b/>
          <w:bCs/>
          <w:u w:val="single"/>
        </w:rPr>
      </w:pPr>
    </w:p>
    <w:p w14:paraId="737E19EC" w14:textId="75DFA5D0" w:rsidR="00F20622" w:rsidRPr="00B04371" w:rsidRDefault="00D47021">
      <w:pPr>
        <w:rPr>
          <w:rFonts w:asciiTheme="majorHAnsi" w:hAnsiTheme="majorHAnsi" w:cstheme="majorHAnsi"/>
          <w:b/>
          <w:bCs/>
          <w:u w:val="single"/>
        </w:rPr>
      </w:pPr>
      <w:r w:rsidRPr="00B04371">
        <w:rPr>
          <w:rFonts w:asciiTheme="majorHAnsi" w:hAnsiTheme="majorHAnsi" w:cstheme="majorHAnsi"/>
          <w:b/>
          <w:bCs/>
          <w:u w:val="single"/>
        </w:rPr>
        <w:t>Water:</w:t>
      </w:r>
    </w:p>
    <w:p w14:paraId="735505D4" w14:textId="238F99DC" w:rsidR="00B841B6" w:rsidRPr="00B04371" w:rsidRDefault="00F20622">
      <w:pPr>
        <w:rPr>
          <w:rFonts w:asciiTheme="majorHAnsi" w:hAnsiTheme="majorHAnsi" w:cstheme="majorHAnsi"/>
        </w:rPr>
      </w:pPr>
      <w:r w:rsidRPr="00B04371">
        <w:rPr>
          <w:rFonts w:asciiTheme="majorHAnsi" w:hAnsiTheme="majorHAnsi" w:cstheme="majorHAnsi"/>
        </w:rPr>
        <w:t xml:space="preserve">To meet the financial needs of providing water to our residents the following right to serve rate changes are </w:t>
      </w:r>
      <w:r w:rsidR="0035580D" w:rsidRPr="00B04371">
        <w:rPr>
          <w:rFonts w:asciiTheme="majorHAnsi" w:hAnsiTheme="majorHAnsi" w:cstheme="majorHAnsi"/>
        </w:rPr>
        <w:t xml:space="preserve">approved </w:t>
      </w:r>
      <w:r w:rsidRPr="00B04371">
        <w:rPr>
          <w:rFonts w:asciiTheme="majorHAnsi" w:hAnsiTheme="majorHAnsi" w:cstheme="majorHAnsi"/>
        </w:rPr>
        <w:t>for the years 2022 -2026:</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F20622" w:rsidRPr="00B04371" w14:paraId="4936AE95" w14:textId="77777777" w:rsidTr="00F20622">
        <w:tc>
          <w:tcPr>
            <w:tcW w:w="1558" w:type="dxa"/>
          </w:tcPr>
          <w:p w14:paraId="4FB4B554" w14:textId="7E28BF2E" w:rsidR="00F20622" w:rsidRPr="00B04371" w:rsidRDefault="00F20622">
            <w:pPr>
              <w:rPr>
                <w:rFonts w:asciiTheme="majorHAnsi" w:hAnsiTheme="majorHAnsi" w:cstheme="majorHAnsi"/>
              </w:rPr>
            </w:pPr>
            <w:r w:rsidRPr="00B04371">
              <w:rPr>
                <w:rFonts w:asciiTheme="majorHAnsi" w:hAnsiTheme="majorHAnsi" w:cstheme="majorHAnsi"/>
              </w:rPr>
              <w:t>Meter Size</w:t>
            </w:r>
          </w:p>
        </w:tc>
        <w:tc>
          <w:tcPr>
            <w:tcW w:w="1558" w:type="dxa"/>
          </w:tcPr>
          <w:p w14:paraId="629D2E95" w14:textId="64FC2373" w:rsidR="00F20622" w:rsidRPr="00B04371" w:rsidRDefault="00F20622">
            <w:pPr>
              <w:rPr>
                <w:rFonts w:asciiTheme="majorHAnsi" w:hAnsiTheme="majorHAnsi" w:cstheme="majorHAnsi"/>
              </w:rPr>
            </w:pPr>
            <w:r w:rsidRPr="00B04371">
              <w:rPr>
                <w:rFonts w:asciiTheme="majorHAnsi" w:hAnsiTheme="majorHAnsi" w:cstheme="majorHAnsi"/>
              </w:rPr>
              <w:t>Yr.2022</w:t>
            </w:r>
          </w:p>
        </w:tc>
        <w:tc>
          <w:tcPr>
            <w:tcW w:w="1558" w:type="dxa"/>
          </w:tcPr>
          <w:p w14:paraId="4310E684" w14:textId="55EA4E8B" w:rsidR="00F20622" w:rsidRPr="00B04371" w:rsidRDefault="00F20622">
            <w:pPr>
              <w:rPr>
                <w:rFonts w:asciiTheme="majorHAnsi" w:hAnsiTheme="majorHAnsi" w:cstheme="majorHAnsi"/>
              </w:rPr>
            </w:pPr>
            <w:r w:rsidRPr="00B04371">
              <w:rPr>
                <w:rFonts w:asciiTheme="majorHAnsi" w:hAnsiTheme="majorHAnsi" w:cstheme="majorHAnsi"/>
              </w:rPr>
              <w:t>Yr.2023</w:t>
            </w:r>
          </w:p>
        </w:tc>
        <w:tc>
          <w:tcPr>
            <w:tcW w:w="1558" w:type="dxa"/>
          </w:tcPr>
          <w:p w14:paraId="7A682E5E" w14:textId="1A9248E9" w:rsidR="00F20622" w:rsidRPr="00B04371" w:rsidRDefault="00F20622">
            <w:pPr>
              <w:rPr>
                <w:rFonts w:asciiTheme="majorHAnsi" w:hAnsiTheme="majorHAnsi" w:cstheme="majorHAnsi"/>
              </w:rPr>
            </w:pPr>
            <w:r w:rsidRPr="00B04371">
              <w:rPr>
                <w:rFonts w:asciiTheme="majorHAnsi" w:hAnsiTheme="majorHAnsi" w:cstheme="majorHAnsi"/>
              </w:rPr>
              <w:t>Yr.2024</w:t>
            </w:r>
          </w:p>
        </w:tc>
        <w:tc>
          <w:tcPr>
            <w:tcW w:w="1559" w:type="dxa"/>
          </w:tcPr>
          <w:p w14:paraId="09C7B2E1" w14:textId="093E17D0" w:rsidR="00F20622" w:rsidRPr="00B04371" w:rsidRDefault="00F20622">
            <w:pPr>
              <w:rPr>
                <w:rFonts w:asciiTheme="majorHAnsi" w:hAnsiTheme="majorHAnsi" w:cstheme="majorHAnsi"/>
              </w:rPr>
            </w:pPr>
            <w:r w:rsidRPr="00B04371">
              <w:rPr>
                <w:rFonts w:asciiTheme="majorHAnsi" w:hAnsiTheme="majorHAnsi" w:cstheme="majorHAnsi"/>
              </w:rPr>
              <w:t>Yr.2025</w:t>
            </w:r>
          </w:p>
        </w:tc>
        <w:tc>
          <w:tcPr>
            <w:tcW w:w="1559" w:type="dxa"/>
          </w:tcPr>
          <w:p w14:paraId="4D26166A" w14:textId="6C34E3A5" w:rsidR="00F20622" w:rsidRPr="00B04371" w:rsidRDefault="00F20622">
            <w:pPr>
              <w:rPr>
                <w:rFonts w:asciiTheme="majorHAnsi" w:hAnsiTheme="majorHAnsi" w:cstheme="majorHAnsi"/>
              </w:rPr>
            </w:pPr>
            <w:r w:rsidRPr="00B04371">
              <w:rPr>
                <w:rFonts w:asciiTheme="majorHAnsi" w:hAnsiTheme="majorHAnsi" w:cstheme="majorHAnsi"/>
              </w:rPr>
              <w:t>Yr.2026</w:t>
            </w:r>
          </w:p>
        </w:tc>
      </w:tr>
      <w:tr w:rsidR="00F20622" w:rsidRPr="00B04371" w14:paraId="23D1E0C8" w14:textId="77777777" w:rsidTr="00F20622">
        <w:tc>
          <w:tcPr>
            <w:tcW w:w="1558" w:type="dxa"/>
          </w:tcPr>
          <w:p w14:paraId="51D46E4F" w14:textId="59F48F8D" w:rsidR="00F20622" w:rsidRPr="00B04371" w:rsidRDefault="00F20622">
            <w:pPr>
              <w:rPr>
                <w:rFonts w:asciiTheme="majorHAnsi" w:hAnsiTheme="majorHAnsi" w:cstheme="majorHAnsi"/>
              </w:rPr>
            </w:pPr>
            <w:r w:rsidRPr="00B04371">
              <w:rPr>
                <w:rFonts w:asciiTheme="majorHAnsi" w:hAnsiTheme="majorHAnsi" w:cstheme="majorHAnsi"/>
              </w:rPr>
              <w:t>¾”</w:t>
            </w:r>
          </w:p>
        </w:tc>
        <w:tc>
          <w:tcPr>
            <w:tcW w:w="1558" w:type="dxa"/>
          </w:tcPr>
          <w:p w14:paraId="5D98A0EB" w14:textId="43556A24" w:rsidR="00F20622" w:rsidRPr="00B04371" w:rsidRDefault="00F20622">
            <w:pPr>
              <w:rPr>
                <w:rFonts w:asciiTheme="majorHAnsi" w:hAnsiTheme="majorHAnsi" w:cstheme="majorHAnsi"/>
              </w:rPr>
            </w:pPr>
            <w:r w:rsidRPr="00B04371">
              <w:rPr>
                <w:rFonts w:asciiTheme="majorHAnsi" w:hAnsiTheme="majorHAnsi" w:cstheme="majorHAnsi"/>
              </w:rPr>
              <w:t>$61.00</w:t>
            </w:r>
          </w:p>
        </w:tc>
        <w:tc>
          <w:tcPr>
            <w:tcW w:w="1558" w:type="dxa"/>
          </w:tcPr>
          <w:p w14:paraId="43623781" w14:textId="6D957E59" w:rsidR="00F20622" w:rsidRPr="00B04371" w:rsidRDefault="00F20622">
            <w:pPr>
              <w:rPr>
                <w:rFonts w:asciiTheme="majorHAnsi" w:hAnsiTheme="majorHAnsi" w:cstheme="majorHAnsi"/>
              </w:rPr>
            </w:pPr>
            <w:r w:rsidRPr="00B04371">
              <w:rPr>
                <w:rFonts w:asciiTheme="majorHAnsi" w:hAnsiTheme="majorHAnsi" w:cstheme="majorHAnsi"/>
              </w:rPr>
              <w:t>$62.83</w:t>
            </w:r>
          </w:p>
        </w:tc>
        <w:tc>
          <w:tcPr>
            <w:tcW w:w="1558" w:type="dxa"/>
          </w:tcPr>
          <w:p w14:paraId="29F82B6D" w14:textId="3DF09F79" w:rsidR="00F20622" w:rsidRPr="00B04371" w:rsidRDefault="00F20622">
            <w:pPr>
              <w:rPr>
                <w:rFonts w:asciiTheme="majorHAnsi" w:hAnsiTheme="majorHAnsi" w:cstheme="majorHAnsi"/>
              </w:rPr>
            </w:pPr>
            <w:r w:rsidRPr="00B04371">
              <w:rPr>
                <w:rFonts w:asciiTheme="majorHAnsi" w:hAnsiTheme="majorHAnsi" w:cstheme="majorHAnsi"/>
              </w:rPr>
              <w:t>$64.71</w:t>
            </w:r>
          </w:p>
        </w:tc>
        <w:tc>
          <w:tcPr>
            <w:tcW w:w="1559" w:type="dxa"/>
          </w:tcPr>
          <w:p w14:paraId="30A6CD17" w14:textId="64E4EEFF" w:rsidR="00F20622" w:rsidRPr="00B04371" w:rsidRDefault="00F20622">
            <w:pPr>
              <w:rPr>
                <w:rFonts w:asciiTheme="majorHAnsi" w:hAnsiTheme="majorHAnsi" w:cstheme="majorHAnsi"/>
              </w:rPr>
            </w:pPr>
            <w:r w:rsidRPr="00B04371">
              <w:rPr>
                <w:rFonts w:asciiTheme="majorHAnsi" w:hAnsiTheme="majorHAnsi" w:cstheme="majorHAnsi"/>
              </w:rPr>
              <w:t>$66.66</w:t>
            </w:r>
          </w:p>
        </w:tc>
        <w:tc>
          <w:tcPr>
            <w:tcW w:w="1559" w:type="dxa"/>
          </w:tcPr>
          <w:p w14:paraId="0A16B2B1" w14:textId="4BE5E79F" w:rsidR="00F20622" w:rsidRPr="00B04371" w:rsidRDefault="00F20622">
            <w:pPr>
              <w:rPr>
                <w:rFonts w:asciiTheme="majorHAnsi" w:hAnsiTheme="majorHAnsi" w:cstheme="majorHAnsi"/>
              </w:rPr>
            </w:pPr>
            <w:r w:rsidRPr="00B04371">
              <w:rPr>
                <w:rFonts w:asciiTheme="majorHAnsi" w:hAnsiTheme="majorHAnsi" w:cstheme="majorHAnsi"/>
              </w:rPr>
              <w:t>$68.66</w:t>
            </w:r>
          </w:p>
        </w:tc>
      </w:tr>
      <w:tr w:rsidR="00F20622" w:rsidRPr="00B04371" w14:paraId="177F40CF" w14:textId="77777777" w:rsidTr="00F20622">
        <w:tc>
          <w:tcPr>
            <w:tcW w:w="1558" w:type="dxa"/>
          </w:tcPr>
          <w:p w14:paraId="45A92023" w14:textId="6DECBC78" w:rsidR="00F20622" w:rsidRPr="00B04371" w:rsidRDefault="00F20622">
            <w:pPr>
              <w:rPr>
                <w:rFonts w:asciiTheme="majorHAnsi" w:hAnsiTheme="majorHAnsi" w:cstheme="majorHAnsi"/>
              </w:rPr>
            </w:pPr>
            <w:r w:rsidRPr="00B04371">
              <w:rPr>
                <w:rFonts w:asciiTheme="majorHAnsi" w:hAnsiTheme="majorHAnsi" w:cstheme="majorHAnsi"/>
              </w:rPr>
              <w:t>1”</w:t>
            </w:r>
          </w:p>
        </w:tc>
        <w:tc>
          <w:tcPr>
            <w:tcW w:w="1558" w:type="dxa"/>
          </w:tcPr>
          <w:p w14:paraId="0442C37F" w14:textId="6E17EB93" w:rsidR="00F20622" w:rsidRPr="00B04371" w:rsidRDefault="00F20622">
            <w:pPr>
              <w:rPr>
                <w:rFonts w:asciiTheme="majorHAnsi" w:hAnsiTheme="majorHAnsi" w:cstheme="majorHAnsi"/>
              </w:rPr>
            </w:pPr>
            <w:r w:rsidRPr="00B04371">
              <w:rPr>
                <w:rFonts w:asciiTheme="majorHAnsi" w:hAnsiTheme="majorHAnsi" w:cstheme="majorHAnsi"/>
              </w:rPr>
              <w:t>$71.24</w:t>
            </w:r>
          </w:p>
        </w:tc>
        <w:tc>
          <w:tcPr>
            <w:tcW w:w="1558" w:type="dxa"/>
          </w:tcPr>
          <w:p w14:paraId="10529E61" w14:textId="3E9292F2" w:rsidR="00F20622" w:rsidRPr="00B04371" w:rsidRDefault="00F20622">
            <w:pPr>
              <w:rPr>
                <w:rFonts w:asciiTheme="majorHAnsi" w:hAnsiTheme="majorHAnsi" w:cstheme="majorHAnsi"/>
              </w:rPr>
            </w:pPr>
            <w:r w:rsidRPr="00B04371">
              <w:rPr>
                <w:rFonts w:asciiTheme="majorHAnsi" w:hAnsiTheme="majorHAnsi" w:cstheme="majorHAnsi"/>
              </w:rPr>
              <w:t>$73.78</w:t>
            </w:r>
          </w:p>
        </w:tc>
        <w:tc>
          <w:tcPr>
            <w:tcW w:w="1558" w:type="dxa"/>
          </w:tcPr>
          <w:p w14:paraId="4C92AE67" w14:textId="0951F3A4" w:rsidR="00F20622" w:rsidRPr="00B04371" w:rsidRDefault="00F20622">
            <w:pPr>
              <w:rPr>
                <w:rFonts w:asciiTheme="majorHAnsi" w:hAnsiTheme="majorHAnsi" w:cstheme="majorHAnsi"/>
              </w:rPr>
            </w:pPr>
            <w:r w:rsidRPr="00B04371">
              <w:rPr>
                <w:rFonts w:asciiTheme="majorHAnsi" w:hAnsiTheme="majorHAnsi" w:cstheme="majorHAnsi"/>
              </w:rPr>
              <w:t>$75.58</w:t>
            </w:r>
          </w:p>
        </w:tc>
        <w:tc>
          <w:tcPr>
            <w:tcW w:w="1559" w:type="dxa"/>
          </w:tcPr>
          <w:p w14:paraId="323983FB" w14:textId="1856AE2E" w:rsidR="00F20622" w:rsidRPr="00B04371" w:rsidRDefault="00F20622">
            <w:pPr>
              <w:rPr>
                <w:rFonts w:asciiTheme="majorHAnsi" w:hAnsiTheme="majorHAnsi" w:cstheme="majorHAnsi"/>
              </w:rPr>
            </w:pPr>
            <w:r w:rsidRPr="00B04371">
              <w:rPr>
                <w:rFonts w:asciiTheme="majorHAnsi" w:hAnsiTheme="majorHAnsi" w:cstheme="majorHAnsi"/>
              </w:rPr>
              <w:t>$77.85</w:t>
            </w:r>
          </w:p>
        </w:tc>
        <w:tc>
          <w:tcPr>
            <w:tcW w:w="1559" w:type="dxa"/>
          </w:tcPr>
          <w:p w14:paraId="6388F080" w14:textId="445E161E" w:rsidR="00F20622" w:rsidRPr="00B04371" w:rsidRDefault="00F20622">
            <w:pPr>
              <w:rPr>
                <w:rFonts w:asciiTheme="majorHAnsi" w:hAnsiTheme="majorHAnsi" w:cstheme="majorHAnsi"/>
              </w:rPr>
            </w:pPr>
            <w:r w:rsidRPr="00B04371">
              <w:rPr>
                <w:rFonts w:asciiTheme="majorHAnsi" w:hAnsiTheme="majorHAnsi" w:cstheme="majorHAnsi"/>
              </w:rPr>
              <w:t>$80.19</w:t>
            </w:r>
          </w:p>
        </w:tc>
      </w:tr>
      <w:tr w:rsidR="00F20622" w:rsidRPr="00B04371" w14:paraId="462DF9DA" w14:textId="77777777" w:rsidTr="00F20622">
        <w:tc>
          <w:tcPr>
            <w:tcW w:w="1558" w:type="dxa"/>
          </w:tcPr>
          <w:p w14:paraId="07E604AB" w14:textId="1F50EB1A" w:rsidR="00F20622" w:rsidRPr="00B04371" w:rsidRDefault="00F20622">
            <w:pPr>
              <w:rPr>
                <w:rFonts w:asciiTheme="majorHAnsi" w:hAnsiTheme="majorHAnsi" w:cstheme="majorHAnsi"/>
              </w:rPr>
            </w:pPr>
            <w:r w:rsidRPr="00B04371">
              <w:rPr>
                <w:rFonts w:asciiTheme="majorHAnsi" w:hAnsiTheme="majorHAnsi" w:cstheme="majorHAnsi"/>
              </w:rPr>
              <w:t>1.5”</w:t>
            </w:r>
          </w:p>
        </w:tc>
        <w:tc>
          <w:tcPr>
            <w:tcW w:w="1558" w:type="dxa"/>
          </w:tcPr>
          <w:p w14:paraId="1E4DC1D4" w14:textId="6781C3DC" w:rsidR="00F20622" w:rsidRPr="00B04371" w:rsidRDefault="00F20622">
            <w:pPr>
              <w:rPr>
                <w:rFonts w:asciiTheme="majorHAnsi" w:hAnsiTheme="majorHAnsi" w:cstheme="majorHAnsi"/>
              </w:rPr>
            </w:pPr>
            <w:r w:rsidRPr="00B04371">
              <w:rPr>
                <w:rFonts w:asciiTheme="majorHAnsi" w:hAnsiTheme="majorHAnsi" w:cstheme="majorHAnsi"/>
              </w:rPr>
              <w:t>$81.58</w:t>
            </w:r>
          </w:p>
        </w:tc>
        <w:tc>
          <w:tcPr>
            <w:tcW w:w="1558" w:type="dxa"/>
          </w:tcPr>
          <w:p w14:paraId="2811B437" w14:textId="29000194" w:rsidR="00F20622" w:rsidRPr="00B04371" w:rsidRDefault="00F20622">
            <w:pPr>
              <w:rPr>
                <w:rFonts w:asciiTheme="majorHAnsi" w:hAnsiTheme="majorHAnsi" w:cstheme="majorHAnsi"/>
              </w:rPr>
            </w:pPr>
            <w:r w:rsidRPr="00B04371">
              <w:rPr>
                <w:rFonts w:asciiTheme="majorHAnsi" w:hAnsiTheme="majorHAnsi" w:cstheme="majorHAnsi"/>
              </w:rPr>
              <w:t>$84.03</w:t>
            </w:r>
          </w:p>
        </w:tc>
        <w:tc>
          <w:tcPr>
            <w:tcW w:w="1558" w:type="dxa"/>
          </w:tcPr>
          <w:p w14:paraId="4A3B5F6C" w14:textId="1A36DBF5" w:rsidR="00F20622" w:rsidRPr="00B04371" w:rsidRDefault="00F20622">
            <w:pPr>
              <w:rPr>
                <w:rFonts w:asciiTheme="majorHAnsi" w:hAnsiTheme="majorHAnsi" w:cstheme="majorHAnsi"/>
              </w:rPr>
            </w:pPr>
            <w:r w:rsidRPr="00B04371">
              <w:rPr>
                <w:rFonts w:asciiTheme="majorHAnsi" w:hAnsiTheme="majorHAnsi" w:cstheme="majorHAnsi"/>
              </w:rPr>
              <w:t>$86.55</w:t>
            </w:r>
          </w:p>
        </w:tc>
        <w:tc>
          <w:tcPr>
            <w:tcW w:w="1559" w:type="dxa"/>
          </w:tcPr>
          <w:p w14:paraId="62C889F9" w14:textId="28D1D73F" w:rsidR="00F20622" w:rsidRPr="00B04371" w:rsidRDefault="00F20622">
            <w:pPr>
              <w:rPr>
                <w:rFonts w:asciiTheme="majorHAnsi" w:hAnsiTheme="majorHAnsi" w:cstheme="majorHAnsi"/>
              </w:rPr>
            </w:pPr>
            <w:r w:rsidRPr="00B04371">
              <w:rPr>
                <w:rFonts w:asciiTheme="majorHAnsi" w:hAnsiTheme="majorHAnsi" w:cstheme="majorHAnsi"/>
              </w:rPr>
              <w:t>$89.15</w:t>
            </w:r>
          </w:p>
        </w:tc>
        <w:tc>
          <w:tcPr>
            <w:tcW w:w="1559" w:type="dxa"/>
          </w:tcPr>
          <w:p w14:paraId="42620A32" w14:textId="5D08E3C8" w:rsidR="00F20622" w:rsidRPr="00B04371" w:rsidRDefault="00F20622">
            <w:pPr>
              <w:rPr>
                <w:rFonts w:asciiTheme="majorHAnsi" w:hAnsiTheme="majorHAnsi" w:cstheme="majorHAnsi"/>
              </w:rPr>
            </w:pPr>
            <w:r w:rsidRPr="00B04371">
              <w:rPr>
                <w:rFonts w:asciiTheme="majorHAnsi" w:hAnsiTheme="majorHAnsi" w:cstheme="majorHAnsi"/>
              </w:rPr>
              <w:t>$91.82</w:t>
            </w:r>
          </w:p>
        </w:tc>
      </w:tr>
      <w:tr w:rsidR="00F20622" w:rsidRPr="00B04371" w14:paraId="65DD7C02" w14:textId="77777777" w:rsidTr="00F20622">
        <w:tc>
          <w:tcPr>
            <w:tcW w:w="1558" w:type="dxa"/>
          </w:tcPr>
          <w:p w14:paraId="6CD70A4B" w14:textId="6F35921C" w:rsidR="00F20622" w:rsidRPr="00B04371" w:rsidRDefault="00F20622">
            <w:pPr>
              <w:rPr>
                <w:rFonts w:asciiTheme="majorHAnsi" w:hAnsiTheme="majorHAnsi" w:cstheme="majorHAnsi"/>
              </w:rPr>
            </w:pPr>
            <w:r w:rsidRPr="00B04371">
              <w:rPr>
                <w:rFonts w:asciiTheme="majorHAnsi" w:hAnsiTheme="majorHAnsi" w:cstheme="majorHAnsi"/>
              </w:rPr>
              <w:t>2”</w:t>
            </w:r>
          </w:p>
        </w:tc>
        <w:tc>
          <w:tcPr>
            <w:tcW w:w="1558" w:type="dxa"/>
          </w:tcPr>
          <w:p w14:paraId="10B2C0E2" w14:textId="556F690C" w:rsidR="00F20622" w:rsidRPr="00B04371" w:rsidRDefault="00F20622">
            <w:pPr>
              <w:rPr>
                <w:rFonts w:asciiTheme="majorHAnsi" w:hAnsiTheme="majorHAnsi" w:cstheme="majorHAnsi"/>
              </w:rPr>
            </w:pPr>
            <w:r w:rsidRPr="00B04371">
              <w:rPr>
                <w:rFonts w:asciiTheme="majorHAnsi" w:hAnsiTheme="majorHAnsi" w:cstheme="majorHAnsi"/>
              </w:rPr>
              <w:t>$111.03</w:t>
            </w:r>
          </w:p>
        </w:tc>
        <w:tc>
          <w:tcPr>
            <w:tcW w:w="1558" w:type="dxa"/>
          </w:tcPr>
          <w:p w14:paraId="349E454A" w14:textId="62812566" w:rsidR="00F20622" w:rsidRPr="00B04371" w:rsidRDefault="00F20622">
            <w:pPr>
              <w:rPr>
                <w:rFonts w:asciiTheme="majorHAnsi" w:hAnsiTheme="majorHAnsi" w:cstheme="majorHAnsi"/>
              </w:rPr>
            </w:pPr>
            <w:r w:rsidRPr="00B04371">
              <w:rPr>
                <w:rFonts w:asciiTheme="majorHAnsi" w:hAnsiTheme="majorHAnsi" w:cstheme="majorHAnsi"/>
              </w:rPr>
              <w:t>$114.37</w:t>
            </w:r>
          </w:p>
        </w:tc>
        <w:tc>
          <w:tcPr>
            <w:tcW w:w="1558" w:type="dxa"/>
          </w:tcPr>
          <w:p w14:paraId="36D501A6" w14:textId="5C028926" w:rsidR="00F20622" w:rsidRPr="00B04371" w:rsidRDefault="00F20622">
            <w:pPr>
              <w:rPr>
                <w:rFonts w:asciiTheme="majorHAnsi" w:hAnsiTheme="majorHAnsi" w:cstheme="majorHAnsi"/>
              </w:rPr>
            </w:pPr>
            <w:r w:rsidRPr="00B04371">
              <w:rPr>
                <w:rFonts w:asciiTheme="majorHAnsi" w:hAnsiTheme="majorHAnsi" w:cstheme="majorHAnsi"/>
              </w:rPr>
              <w:t>$117.80</w:t>
            </w:r>
          </w:p>
        </w:tc>
        <w:tc>
          <w:tcPr>
            <w:tcW w:w="1559" w:type="dxa"/>
          </w:tcPr>
          <w:p w14:paraId="24AD0803" w14:textId="4F22E00E" w:rsidR="00F20622" w:rsidRPr="00B04371" w:rsidRDefault="00F20622">
            <w:pPr>
              <w:rPr>
                <w:rFonts w:asciiTheme="majorHAnsi" w:hAnsiTheme="majorHAnsi" w:cstheme="majorHAnsi"/>
              </w:rPr>
            </w:pPr>
            <w:r w:rsidRPr="00B04371">
              <w:rPr>
                <w:rFonts w:asciiTheme="majorHAnsi" w:hAnsiTheme="majorHAnsi" w:cstheme="majorHAnsi"/>
              </w:rPr>
              <w:t>$121.33</w:t>
            </w:r>
          </w:p>
        </w:tc>
        <w:tc>
          <w:tcPr>
            <w:tcW w:w="1559" w:type="dxa"/>
          </w:tcPr>
          <w:p w14:paraId="1D19123D" w14:textId="2A11D99F" w:rsidR="00F20622" w:rsidRPr="00B04371" w:rsidRDefault="00F20622">
            <w:pPr>
              <w:rPr>
                <w:rFonts w:asciiTheme="majorHAnsi" w:hAnsiTheme="majorHAnsi" w:cstheme="majorHAnsi"/>
              </w:rPr>
            </w:pPr>
            <w:r w:rsidRPr="00B04371">
              <w:rPr>
                <w:rFonts w:asciiTheme="majorHAnsi" w:hAnsiTheme="majorHAnsi" w:cstheme="majorHAnsi"/>
              </w:rPr>
              <w:t>$124.97</w:t>
            </w:r>
          </w:p>
        </w:tc>
      </w:tr>
    </w:tbl>
    <w:p w14:paraId="62C19A39" w14:textId="77777777" w:rsidR="00D47021" w:rsidRPr="00B04371" w:rsidRDefault="00D47021">
      <w:pPr>
        <w:rPr>
          <w:rFonts w:asciiTheme="majorHAnsi" w:hAnsiTheme="majorHAnsi" w:cstheme="majorHAnsi"/>
        </w:rPr>
      </w:pPr>
    </w:p>
    <w:p w14:paraId="5B3956BE" w14:textId="7762486A" w:rsidR="00F20622" w:rsidRPr="00B04371" w:rsidRDefault="00D47021">
      <w:pPr>
        <w:rPr>
          <w:rFonts w:asciiTheme="majorHAnsi" w:hAnsiTheme="majorHAnsi" w:cstheme="majorHAnsi"/>
        </w:rPr>
      </w:pPr>
      <w:r w:rsidRPr="00B04371">
        <w:rPr>
          <w:rFonts w:asciiTheme="majorHAnsi" w:hAnsiTheme="majorHAnsi" w:cstheme="majorHAnsi"/>
        </w:rPr>
        <w:t>In addition to the right to serve rate, residents will be charge</w:t>
      </w:r>
      <w:r w:rsidR="00C951D2" w:rsidRPr="00B04371">
        <w:rPr>
          <w:rFonts w:asciiTheme="majorHAnsi" w:hAnsiTheme="majorHAnsi" w:cstheme="majorHAnsi"/>
        </w:rPr>
        <w:t>d</w:t>
      </w:r>
      <w:r w:rsidRPr="00B04371">
        <w:rPr>
          <w:rFonts w:asciiTheme="majorHAnsi" w:hAnsiTheme="majorHAnsi" w:cstheme="majorHAnsi"/>
        </w:rPr>
        <w:t xml:space="preserve"> per gallon us</w:t>
      </w:r>
      <w:r w:rsidR="006D339E" w:rsidRPr="00B04371">
        <w:rPr>
          <w:rFonts w:asciiTheme="majorHAnsi" w:hAnsiTheme="majorHAnsi" w:cstheme="majorHAnsi"/>
        </w:rPr>
        <w:t>ed</w:t>
      </w:r>
      <w:r w:rsidRPr="00B04371">
        <w:rPr>
          <w:rFonts w:asciiTheme="majorHAnsi" w:hAnsiTheme="majorHAnsi" w:cstheme="majorHAnsi"/>
        </w:rPr>
        <w:t xml:space="preserve"> monthly at the following rate</w:t>
      </w:r>
      <w:r w:rsidR="00C70CC5" w:rsidRPr="00B04371">
        <w:rPr>
          <w:rFonts w:asciiTheme="majorHAnsi" w:hAnsiTheme="majorHAnsi" w:cstheme="majorHAnsi"/>
        </w:rPr>
        <w:t>s</w:t>
      </w:r>
      <w:r w:rsidRPr="00B04371">
        <w:rPr>
          <w:rFonts w:asciiTheme="majorHAnsi" w:hAnsiTheme="majorHAnsi" w:cstheme="majorHAnsi"/>
        </w:rPr>
        <w:t>:</w:t>
      </w:r>
    </w:p>
    <w:p w14:paraId="4A2FDD56" w14:textId="00204E7A" w:rsidR="00D47021" w:rsidRPr="00B04371" w:rsidRDefault="00D47021">
      <w:pPr>
        <w:rPr>
          <w:rFonts w:asciiTheme="majorHAnsi" w:hAnsiTheme="majorHAnsi" w:cstheme="majorHAnsi"/>
        </w:rPr>
      </w:pPr>
    </w:p>
    <w:tbl>
      <w:tblPr>
        <w:tblStyle w:val="TableGrid"/>
        <w:tblpPr w:leftFromText="180" w:rightFromText="180" w:vertAnchor="text" w:tblpY="1"/>
        <w:tblOverlap w:val="never"/>
        <w:tblW w:w="3692" w:type="dxa"/>
        <w:tblLook w:val="04A0" w:firstRow="1" w:lastRow="0" w:firstColumn="1" w:lastColumn="0" w:noHBand="0" w:noVBand="1"/>
      </w:tblPr>
      <w:tblGrid>
        <w:gridCol w:w="1664"/>
        <w:gridCol w:w="2028"/>
      </w:tblGrid>
      <w:tr w:rsidR="00C70CC5" w:rsidRPr="00B04371" w14:paraId="690DCEE3" w14:textId="77777777" w:rsidTr="00184126">
        <w:trPr>
          <w:trHeight w:val="300"/>
        </w:trPr>
        <w:tc>
          <w:tcPr>
            <w:tcW w:w="3692" w:type="dxa"/>
            <w:gridSpan w:val="2"/>
          </w:tcPr>
          <w:p w14:paraId="25AFEC6D" w14:textId="77777777" w:rsidR="00C70CC5" w:rsidRPr="00B04371" w:rsidRDefault="00C70CC5" w:rsidP="00184126">
            <w:pPr>
              <w:jc w:val="center"/>
              <w:rPr>
                <w:rFonts w:asciiTheme="majorHAnsi" w:hAnsiTheme="majorHAnsi" w:cstheme="majorHAnsi"/>
              </w:rPr>
            </w:pPr>
            <w:r w:rsidRPr="00B04371">
              <w:rPr>
                <w:rFonts w:asciiTheme="majorHAnsi" w:hAnsiTheme="majorHAnsi" w:cstheme="majorHAnsi"/>
              </w:rPr>
              <w:t>3/4” Meter Usage Rate</w:t>
            </w:r>
          </w:p>
        </w:tc>
      </w:tr>
      <w:tr w:rsidR="00C70CC5" w:rsidRPr="00B04371" w14:paraId="281EF789" w14:textId="77777777" w:rsidTr="00184126">
        <w:trPr>
          <w:trHeight w:val="300"/>
        </w:trPr>
        <w:tc>
          <w:tcPr>
            <w:tcW w:w="1664" w:type="dxa"/>
          </w:tcPr>
          <w:p w14:paraId="51C6CAA2" w14:textId="77777777" w:rsidR="00C70CC5" w:rsidRPr="00B04371" w:rsidRDefault="00C70CC5" w:rsidP="00184126">
            <w:pPr>
              <w:jc w:val="center"/>
              <w:rPr>
                <w:rFonts w:asciiTheme="majorHAnsi" w:hAnsiTheme="majorHAnsi" w:cstheme="majorHAnsi"/>
              </w:rPr>
            </w:pPr>
            <w:r w:rsidRPr="00B04371">
              <w:rPr>
                <w:rFonts w:asciiTheme="majorHAnsi" w:hAnsiTheme="majorHAnsi" w:cstheme="majorHAnsi"/>
              </w:rPr>
              <w:t>Usage/Gallons</w:t>
            </w:r>
          </w:p>
        </w:tc>
        <w:tc>
          <w:tcPr>
            <w:tcW w:w="2027" w:type="dxa"/>
          </w:tcPr>
          <w:p w14:paraId="52587F78" w14:textId="77777777" w:rsidR="00C70CC5" w:rsidRPr="00B04371" w:rsidRDefault="00C70CC5" w:rsidP="00184126">
            <w:pPr>
              <w:jc w:val="center"/>
              <w:rPr>
                <w:rFonts w:asciiTheme="majorHAnsi" w:hAnsiTheme="majorHAnsi" w:cstheme="majorHAnsi"/>
              </w:rPr>
            </w:pPr>
            <w:r w:rsidRPr="00B04371">
              <w:rPr>
                <w:rFonts w:asciiTheme="majorHAnsi" w:hAnsiTheme="majorHAnsi" w:cstheme="majorHAnsi"/>
              </w:rPr>
              <w:t>Usage Rate</w:t>
            </w:r>
          </w:p>
        </w:tc>
      </w:tr>
      <w:tr w:rsidR="00C70CC5" w:rsidRPr="00B04371" w14:paraId="20C80B56" w14:textId="77777777" w:rsidTr="00184126">
        <w:trPr>
          <w:trHeight w:val="375"/>
        </w:trPr>
        <w:tc>
          <w:tcPr>
            <w:tcW w:w="1664" w:type="dxa"/>
          </w:tcPr>
          <w:p w14:paraId="470B0D8C" w14:textId="77777777" w:rsidR="00C70CC5" w:rsidRPr="00B04371" w:rsidRDefault="00C70CC5" w:rsidP="00184126">
            <w:pPr>
              <w:jc w:val="center"/>
              <w:rPr>
                <w:rFonts w:asciiTheme="majorHAnsi" w:hAnsiTheme="majorHAnsi" w:cstheme="majorHAnsi"/>
              </w:rPr>
            </w:pPr>
            <w:r w:rsidRPr="00B04371">
              <w:rPr>
                <w:rFonts w:asciiTheme="majorHAnsi" w:hAnsiTheme="majorHAnsi" w:cstheme="majorHAnsi"/>
              </w:rPr>
              <w:t>1.0 – 19,999</w:t>
            </w:r>
          </w:p>
        </w:tc>
        <w:tc>
          <w:tcPr>
            <w:tcW w:w="2027" w:type="dxa"/>
          </w:tcPr>
          <w:p w14:paraId="0E139857" w14:textId="77777777" w:rsidR="00C70CC5" w:rsidRPr="00B04371" w:rsidRDefault="00C70CC5" w:rsidP="00184126">
            <w:pPr>
              <w:jc w:val="center"/>
              <w:rPr>
                <w:rFonts w:asciiTheme="majorHAnsi" w:hAnsiTheme="majorHAnsi" w:cstheme="majorHAnsi"/>
              </w:rPr>
            </w:pPr>
            <w:r w:rsidRPr="00B04371">
              <w:rPr>
                <w:rFonts w:asciiTheme="majorHAnsi" w:hAnsiTheme="majorHAnsi" w:cstheme="majorHAnsi"/>
              </w:rPr>
              <w:t>$.00302/gal used</w:t>
            </w:r>
          </w:p>
        </w:tc>
      </w:tr>
      <w:tr w:rsidR="00C70CC5" w:rsidRPr="00B04371" w14:paraId="0165793C" w14:textId="77777777" w:rsidTr="00184126">
        <w:trPr>
          <w:trHeight w:val="430"/>
        </w:trPr>
        <w:tc>
          <w:tcPr>
            <w:tcW w:w="1664" w:type="dxa"/>
          </w:tcPr>
          <w:p w14:paraId="3567B1E4" w14:textId="77777777" w:rsidR="00C70CC5" w:rsidRPr="00B04371" w:rsidRDefault="00C70CC5" w:rsidP="00184126">
            <w:pPr>
              <w:jc w:val="center"/>
              <w:rPr>
                <w:rFonts w:asciiTheme="majorHAnsi" w:hAnsiTheme="majorHAnsi" w:cstheme="majorHAnsi"/>
              </w:rPr>
            </w:pPr>
            <w:r w:rsidRPr="00B04371">
              <w:rPr>
                <w:rFonts w:asciiTheme="majorHAnsi" w:hAnsiTheme="majorHAnsi" w:cstheme="majorHAnsi"/>
              </w:rPr>
              <w:t>20,000+</w:t>
            </w:r>
          </w:p>
        </w:tc>
        <w:tc>
          <w:tcPr>
            <w:tcW w:w="2027" w:type="dxa"/>
          </w:tcPr>
          <w:p w14:paraId="662054E3" w14:textId="77777777" w:rsidR="00C70CC5" w:rsidRPr="00B04371" w:rsidRDefault="00C70CC5" w:rsidP="00184126">
            <w:pPr>
              <w:jc w:val="center"/>
              <w:rPr>
                <w:rFonts w:asciiTheme="majorHAnsi" w:hAnsiTheme="majorHAnsi" w:cstheme="majorHAnsi"/>
              </w:rPr>
            </w:pPr>
            <w:r w:rsidRPr="00B04371">
              <w:rPr>
                <w:rFonts w:asciiTheme="majorHAnsi" w:hAnsiTheme="majorHAnsi" w:cstheme="majorHAnsi"/>
              </w:rPr>
              <w:t>$.020/gal used</w:t>
            </w:r>
          </w:p>
        </w:tc>
      </w:tr>
    </w:tbl>
    <w:tbl>
      <w:tblPr>
        <w:tblStyle w:val="TableGrid"/>
        <w:tblpPr w:leftFromText="180" w:rightFromText="180" w:vertAnchor="text" w:horzAnchor="page" w:tblpX="6856" w:tblpYSpec="center"/>
        <w:tblW w:w="3647" w:type="dxa"/>
        <w:tblLook w:val="04A0" w:firstRow="1" w:lastRow="0" w:firstColumn="1" w:lastColumn="0" w:noHBand="0" w:noVBand="1"/>
      </w:tblPr>
      <w:tblGrid>
        <w:gridCol w:w="1690"/>
        <w:gridCol w:w="1957"/>
      </w:tblGrid>
      <w:tr w:rsidR="00C70CC5" w:rsidRPr="00B04371" w14:paraId="765EE4A8" w14:textId="77777777" w:rsidTr="00184126">
        <w:trPr>
          <w:trHeight w:val="314"/>
        </w:trPr>
        <w:tc>
          <w:tcPr>
            <w:tcW w:w="3647" w:type="dxa"/>
            <w:gridSpan w:val="2"/>
          </w:tcPr>
          <w:p w14:paraId="2CE8B470" w14:textId="77777777" w:rsidR="00C70CC5" w:rsidRPr="00B04371" w:rsidRDefault="00C70CC5" w:rsidP="00184126">
            <w:pPr>
              <w:jc w:val="center"/>
              <w:rPr>
                <w:rFonts w:asciiTheme="majorHAnsi" w:hAnsiTheme="majorHAnsi" w:cstheme="majorHAnsi"/>
              </w:rPr>
            </w:pPr>
            <w:r w:rsidRPr="00B04371">
              <w:rPr>
                <w:rFonts w:asciiTheme="majorHAnsi" w:hAnsiTheme="majorHAnsi" w:cstheme="majorHAnsi"/>
              </w:rPr>
              <w:t>1” Meter Usage Rate</w:t>
            </w:r>
          </w:p>
        </w:tc>
      </w:tr>
      <w:tr w:rsidR="00C70CC5" w:rsidRPr="00B04371" w14:paraId="64E326BD" w14:textId="77777777" w:rsidTr="00184126">
        <w:trPr>
          <w:trHeight w:val="314"/>
        </w:trPr>
        <w:tc>
          <w:tcPr>
            <w:tcW w:w="1690" w:type="dxa"/>
          </w:tcPr>
          <w:p w14:paraId="317700AC" w14:textId="77777777" w:rsidR="00C70CC5" w:rsidRPr="00B04371" w:rsidRDefault="00C70CC5" w:rsidP="00184126">
            <w:pPr>
              <w:jc w:val="center"/>
              <w:rPr>
                <w:rFonts w:asciiTheme="majorHAnsi" w:hAnsiTheme="majorHAnsi" w:cstheme="majorHAnsi"/>
              </w:rPr>
            </w:pPr>
            <w:r w:rsidRPr="00B04371">
              <w:rPr>
                <w:rFonts w:asciiTheme="majorHAnsi" w:hAnsiTheme="majorHAnsi" w:cstheme="majorHAnsi"/>
              </w:rPr>
              <w:t>Usage/Gallons</w:t>
            </w:r>
          </w:p>
        </w:tc>
        <w:tc>
          <w:tcPr>
            <w:tcW w:w="1957" w:type="dxa"/>
          </w:tcPr>
          <w:p w14:paraId="3D619D7A" w14:textId="77777777" w:rsidR="00C70CC5" w:rsidRPr="00B04371" w:rsidRDefault="00C70CC5" w:rsidP="00184126">
            <w:pPr>
              <w:jc w:val="center"/>
              <w:rPr>
                <w:rFonts w:asciiTheme="majorHAnsi" w:hAnsiTheme="majorHAnsi" w:cstheme="majorHAnsi"/>
              </w:rPr>
            </w:pPr>
            <w:r w:rsidRPr="00B04371">
              <w:rPr>
                <w:rFonts w:asciiTheme="majorHAnsi" w:hAnsiTheme="majorHAnsi" w:cstheme="majorHAnsi"/>
              </w:rPr>
              <w:t>Usage Rate</w:t>
            </w:r>
          </w:p>
        </w:tc>
      </w:tr>
      <w:tr w:rsidR="00C70CC5" w:rsidRPr="00B04371" w14:paraId="04899F97" w14:textId="77777777" w:rsidTr="00184126">
        <w:trPr>
          <w:trHeight w:val="332"/>
        </w:trPr>
        <w:tc>
          <w:tcPr>
            <w:tcW w:w="1690" w:type="dxa"/>
          </w:tcPr>
          <w:p w14:paraId="7951FD32" w14:textId="77777777" w:rsidR="00C70CC5" w:rsidRPr="00B04371" w:rsidRDefault="00C70CC5" w:rsidP="00184126">
            <w:pPr>
              <w:jc w:val="center"/>
              <w:rPr>
                <w:rFonts w:asciiTheme="majorHAnsi" w:hAnsiTheme="majorHAnsi" w:cstheme="majorHAnsi"/>
              </w:rPr>
            </w:pPr>
            <w:r w:rsidRPr="00B04371">
              <w:rPr>
                <w:rFonts w:asciiTheme="majorHAnsi" w:hAnsiTheme="majorHAnsi" w:cstheme="majorHAnsi"/>
              </w:rPr>
              <w:t>1.0 - 29,999</w:t>
            </w:r>
          </w:p>
        </w:tc>
        <w:tc>
          <w:tcPr>
            <w:tcW w:w="1957" w:type="dxa"/>
          </w:tcPr>
          <w:p w14:paraId="596B4D84" w14:textId="77777777" w:rsidR="00C70CC5" w:rsidRPr="00B04371" w:rsidRDefault="00C70CC5" w:rsidP="00184126">
            <w:pPr>
              <w:jc w:val="center"/>
              <w:rPr>
                <w:rFonts w:asciiTheme="majorHAnsi" w:hAnsiTheme="majorHAnsi" w:cstheme="majorHAnsi"/>
              </w:rPr>
            </w:pPr>
            <w:r w:rsidRPr="00B04371">
              <w:rPr>
                <w:rFonts w:asciiTheme="majorHAnsi" w:hAnsiTheme="majorHAnsi" w:cstheme="majorHAnsi"/>
              </w:rPr>
              <w:t>$.00324/gal used</w:t>
            </w:r>
          </w:p>
        </w:tc>
      </w:tr>
      <w:tr w:rsidR="00C70CC5" w:rsidRPr="00B04371" w14:paraId="5A30E68A" w14:textId="77777777" w:rsidTr="00184126">
        <w:trPr>
          <w:trHeight w:val="440"/>
        </w:trPr>
        <w:tc>
          <w:tcPr>
            <w:tcW w:w="1690" w:type="dxa"/>
          </w:tcPr>
          <w:p w14:paraId="2EBC2724" w14:textId="77777777" w:rsidR="00C70CC5" w:rsidRPr="00B04371" w:rsidRDefault="00C70CC5" w:rsidP="00184126">
            <w:pPr>
              <w:jc w:val="center"/>
              <w:rPr>
                <w:rFonts w:asciiTheme="majorHAnsi" w:hAnsiTheme="majorHAnsi" w:cstheme="majorHAnsi"/>
              </w:rPr>
            </w:pPr>
            <w:r w:rsidRPr="00B04371">
              <w:rPr>
                <w:rFonts w:asciiTheme="majorHAnsi" w:hAnsiTheme="majorHAnsi" w:cstheme="majorHAnsi"/>
              </w:rPr>
              <w:t>30,000+</w:t>
            </w:r>
          </w:p>
        </w:tc>
        <w:tc>
          <w:tcPr>
            <w:tcW w:w="1957" w:type="dxa"/>
          </w:tcPr>
          <w:p w14:paraId="03366E44" w14:textId="77777777" w:rsidR="00C70CC5" w:rsidRPr="00B04371" w:rsidRDefault="00C70CC5" w:rsidP="00184126">
            <w:pPr>
              <w:jc w:val="center"/>
              <w:rPr>
                <w:rFonts w:asciiTheme="majorHAnsi" w:hAnsiTheme="majorHAnsi" w:cstheme="majorHAnsi"/>
              </w:rPr>
            </w:pPr>
            <w:r w:rsidRPr="00B04371">
              <w:rPr>
                <w:rFonts w:asciiTheme="majorHAnsi" w:hAnsiTheme="majorHAnsi" w:cstheme="majorHAnsi"/>
              </w:rPr>
              <w:t>$.020/gal used</w:t>
            </w:r>
          </w:p>
        </w:tc>
      </w:tr>
    </w:tbl>
    <w:p w14:paraId="2109330C" w14:textId="77777777" w:rsidR="00C70CC5" w:rsidRPr="00B04371" w:rsidRDefault="00C70CC5" w:rsidP="00C70CC5">
      <w:pPr>
        <w:tabs>
          <w:tab w:val="center" w:pos="2910"/>
        </w:tabs>
        <w:rPr>
          <w:rFonts w:asciiTheme="majorHAnsi" w:hAnsiTheme="majorHAnsi" w:cstheme="majorHAnsi"/>
        </w:rPr>
      </w:pPr>
      <w:r w:rsidRPr="00B04371">
        <w:rPr>
          <w:rFonts w:asciiTheme="majorHAnsi" w:hAnsiTheme="majorHAnsi" w:cstheme="majorHAnsi"/>
        </w:rPr>
        <w:tab/>
        <w:t xml:space="preserve">                                                  </w:t>
      </w:r>
    </w:p>
    <w:tbl>
      <w:tblPr>
        <w:tblStyle w:val="TableGrid"/>
        <w:tblpPr w:leftFromText="180" w:rightFromText="180" w:vertAnchor="text" w:horzAnchor="margin" w:tblpY="1423"/>
        <w:tblOverlap w:val="never"/>
        <w:tblW w:w="3722" w:type="dxa"/>
        <w:tblLook w:val="04A0" w:firstRow="1" w:lastRow="0" w:firstColumn="1" w:lastColumn="0" w:noHBand="0" w:noVBand="1"/>
      </w:tblPr>
      <w:tblGrid>
        <w:gridCol w:w="1678"/>
        <w:gridCol w:w="2044"/>
      </w:tblGrid>
      <w:tr w:rsidR="00C70CC5" w:rsidRPr="00B04371" w14:paraId="63219840" w14:textId="77777777" w:rsidTr="00184126">
        <w:trPr>
          <w:trHeight w:val="297"/>
        </w:trPr>
        <w:tc>
          <w:tcPr>
            <w:tcW w:w="3722" w:type="dxa"/>
            <w:gridSpan w:val="2"/>
          </w:tcPr>
          <w:p w14:paraId="78F827F3" w14:textId="77777777" w:rsidR="00C70CC5" w:rsidRPr="00B04371" w:rsidRDefault="00C70CC5" w:rsidP="00184126">
            <w:pPr>
              <w:jc w:val="center"/>
              <w:rPr>
                <w:rFonts w:asciiTheme="majorHAnsi" w:hAnsiTheme="majorHAnsi" w:cstheme="majorHAnsi"/>
              </w:rPr>
            </w:pPr>
            <w:r w:rsidRPr="00B04371">
              <w:rPr>
                <w:rFonts w:asciiTheme="majorHAnsi" w:hAnsiTheme="majorHAnsi" w:cstheme="majorHAnsi"/>
              </w:rPr>
              <w:t xml:space="preserve">1 </w:t>
            </w:r>
            <w:proofErr w:type="gramStart"/>
            <w:r w:rsidRPr="00B04371">
              <w:rPr>
                <w:rFonts w:asciiTheme="majorHAnsi" w:hAnsiTheme="majorHAnsi" w:cstheme="majorHAnsi"/>
              </w:rPr>
              <w:t>½ ”</w:t>
            </w:r>
            <w:proofErr w:type="gramEnd"/>
            <w:r w:rsidRPr="00B04371">
              <w:rPr>
                <w:rFonts w:asciiTheme="majorHAnsi" w:hAnsiTheme="majorHAnsi" w:cstheme="majorHAnsi"/>
              </w:rPr>
              <w:t xml:space="preserve"> Meter Usage Rate</w:t>
            </w:r>
          </w:p>
        </w:tc>
      </w:tr>
      <w:tr w:rsidR="00C70CC5" w:rsidRPr="00B04371" w14:paraId="7505D680" w14:textId="77777777" w:rsidTr="00184126">
        <w:trPr>
          <w:trHeight w:val="297"/>
        </w:trPr>
        <w:tc>
          <w:tcPr>
            <w:tcW w:w="1678" w:type="dxa"/>
          </w:tcPr>
          <w:p w14:paraId="1ADABC93" w14:textId="77777777" w:rsidR="00C70CC5" w:rsidRPr="00B04371" w:rsidRDefault="00C70CC5" w:rsidP="00184126">
            <w:pPr>
              <w:jc w:val="center"/>
              <w:rPr>
                <w:rFonts w:asciiTheme="majorHAnsi" w:hAnsiTheme="majorHAnsi" w:cstheme="majorHAnsi"/>
              </w:rPr>
            </w:pPr>
            <w:r w:rsidRPr="00B04371">
              <w:rPr>
                <w:rFonts w:asciiTheme="majorHAnsi" w:hAnsiTheme="majorHAnsi" w:cstheme="majorHAnsi"/>
              </w:rPr>
              <w:t>Usage/Gallons</w:t>
            </w:r>
          </w:p>
        </w:tc>
        <w:tc>
          <w:tcPr>
            <w:tcW w:w="2044" w:type="dxa"/>
          </w:tcPr>
          <w:p w14:paraId="54810767" w14:textId="77777777" w:rsidR="00C70CC5" w:rsidRPr="00B04371" w:rsidRDefault="00C70CC5" w:rsidP="00184126">
            <w:pPr>
              <w:jc w:val="center"/>
              <w:rPr>
                <w:rFonts w:asciiTheme="majorHAnsi" w:hAnsiTheme="majorHAnsi" w:cstheme="majorHAnsi"/>
              </w:rPr>
            </w:pPr>
            <w:r w:rsidRPr="00B04371">
              <w:rPr>
                <w:rFonts w:asciiTheme="majorHAnsi" w:hAnsiTheme="majorHAnsi" w:cstheme="majorHAnsi"/>
              </w:rPr>
              <w:t>Usage Rate</w:t>
            </w:r>
          </w:p>
        </w:tc>
      </w:tr>
      <w:tr w:rsidR="00C70CC5" w:rsidRPr="00B04371" w14:paraId="1A75570D" w14:textId="77777777" w:rsidTr="00184126">
        <w:trPr>
          <w:trHeight w:val="368"/>
        </w:trPr>
        <w:tc>
          <w:tcPr>
            <w:tcW w:w="1678" w:type="dxa"/>
          </w:tcPr>
          <w:p w14:paraId="7C02F5C4" w14:textId="77777777" w:rsidR="00C70CC5" w:rsidRPr="00B04371" w:rsidRDefault="00C70CC5" w:rsidP="00184126">
            <w:pPr>
              <w:jc w:val="center"/>
              <w:rPr>
                <w:rFonts w:asciiTheme="majorHAnsi" w:hAnsiTheme="majorHAnsi" w:cstheme="majorHAnsi"/>
              </w:rPr>
            </w:pPr>
            <w:r w:rsidRPr="00B04371">
              <w:rPr>
                <w:rFonts w:asciiTheme="majorHAnsi" w:hAnsiTheme="majorHAnsi" w:cstheme="majorHAnsi"/>
              </w:rPr>
              <w:t>1.0 – 39,999</w:t>
            </w:r>
          </w:p>
        </w:tc>
        <w:tc>
          <w:tcPr>
            <w:tcW w:w="2044" w:type="dxa"/>
          </w:tcPr>
          <w:p w14:paraId="189B576B" w14:textId="77777777" w:rsidR="00C70CC5" w:rsidRPr="00B04371" w:rsidRDefault="00C70CC5" w:rsidP="00184126">
            <w:pPr>
              <w:jc w:val="center"/>
              <w:rPr>
                <w:rFonts w:asciiTheme="majorHAnsi" w:hAnsiTheme="majorHAnsi" w:cstheme="majorHAnsi"/>
              </w:rPr>
            </w:pPr>
            <w:r w:rsidRPr="00B04371">
              <w:rPr>
                <w:rFonts w:asciiTheme="majorHAnsi" w:hAnsiTheme="majorHAnsi" w:cstheme="majorHAnsi"/>
              </w:rPr>
              <w:t>$.00344/gal used</w:t>
            </w:r>
          </w:p>
        </w:tc>
      </w:tr>
      <w:tr w:rsidR="00C70CC5" w:rsidRPr="00B04371" w14:paraId="23DF3788" w14:textId="77777777" w:rsidTr="00184126">
        <w:trPr>
          <w:trHeight w:val="441"/>
        </w:trPr>
        <w:tc>
          <w:tcPr>
            <w:tcW w:w="1678" w:type="dxa"/>
          </w:tcPr>
          <w:p w14:paraId="22994386" w14:textId="77777777" w:rsidR="00C70CC5" w:rsidRPr="00B04371" w:rsidRDefault="00C70CC5" w:rsidP="00184126">
            <w:pPr>
              <w:jc w:val="center"/>
              <w:rPr>
                <w:rFonts w:asciiTheme="majorHAnsi" w:hAnsiTheme="majorHAnsi" w:cstheme="majorHAnsi"/>
              </w:rPr>
            </w:pPr>
            <w:r w:rsidRPr="00B04371">
              <w:rPr>
                <w:rFonts w:asciiTheme="majorHAnsi" w:hAnsiTheme="majorHAnsi" w:cstheme="majorHAnsi"/>
              </w:rPr>
              <w:t>40,000+</w:t>
            </w:r>
          </w:p>
        </w:tc>
        <w:tc>
          <w:tcPr>
            <w:tcW w:w="2044" w:type="dxa"/>
          </w:tcPr>
          <w:p w14:paraId="6CC02F30" w14:textId="77777777" w:rsidR="00C70CC5" w:rsidRPr="00B04371" w:rsidRDefault="00C70CC5" w:rsidP="00184126">
            <w:pPr>
              <w:jc w:val="center"/>
              <w:rPr>
                <w:rFonts w:asciiTheme="majorHAnsi" w:hAnsiTheme="majorHAnsi" w:cstheme="majorHAnsi"/>
              </w:rPr>
            </w:pPr>
            <w:r w:rsidRPr="00B04371">
              <w:rPr>
                <w:rFonts w:asciiTheme="majorHAnsi" w:hAnsiTheme="majorHAnsi" w:cstheme="majorHAnsi"/>
              </w:rPr>
              <w:t>$.020/gal used</w:t>
            </w:r>
          </w:p>
        </w:tc>
      </w:tr>
    </w:tbl>
    <w:tbl>
      <w:tblPr>
        <w:tblStyle w:val="TableGrid"/>
        <w:tblpPr w:leftFromText="180" w:rightFromText="180" w:vertAnchor="text" w:horzAnchor="page" w:tblpX="6826" w:tblpY="1463"/>
        <w:tblW w:w="3707" w:type="dxa"/>
        <w:tblLook w:val="04A0" w:firstRow="1" w:lastRow="0" w:firstColumn="1" w:lastColumn="0" w:noHBand="0" w:noVBand="1"/>
      </w:tblPr>
      <w:tblGrid>
        <w:gridCol w:w="1757"/>
        <w:gridCol w:w="1950"/>
      </w:tblGrid>
      <w:tr w:rsidR="00C70CC5" w:rsidRPr="00B04371" w14:paraId="5E0822C6" w14:textId="77777777" w:rsidTr="00184126">
        <w:trPr>
          <w:trHeight w:val="350"/>
        </w:trPr>
        <w:tc>
          <w:tcPr>
            <w:tcW w:w="3707" w:type="dxa"/>
            <w:gridSpan w:val="2"/>
          </w:tcPr>
          <w:p w14:paraId="45620FE2" w14:textId="77777777" w:rsidR="00C70CC5" w:rsidRPr="00B04371" w:rsidRDefault="00C70CC5" w:rsidP="00184126">
            <w:pPr>
              <w:jc w:val="center"/>
              <w:rPr>
                <w:rFonts w:asciiTheme="majorHAnsi" w:hAnsiTheme="majorHAnsi" w:cstheme="majorHAnsi"/>
              </w:rPr>
            </w:pPr>
            <w:r w:rsidRPr="00B04371">
              <w:rPr>
                <w:rFonts w:asciiTheme="majorHAnsi" w:hAnsiTheme="majorHAnsi" w:cstheme="majorHAnsi"/>
              </w:rPr>
              <w:t>2” Meter Usage Rate</w:t>
            </w:r>
          </w:p>
        </w:tc>
      </w:tr>
      <w:tr w:rsidR="00C70CC5" w:rsidRPr="00B04371" w14:paraId="57073434" w14:textId="77777777" w:rsidTr="00184126">
        <w:trPr>
          <w:trHeight w:val="242"/>
        </w:trPr>
        <w:tc>
          <w:tcPr>
            <w:tcW w:w="1757" w:type="dxa"/>
          </w:tcPr>
          <w:p w14:paraId="792ADF51" w14:textId="77777777" w:rsidR="00C70CC5" w:rsidRPr="00B04371" w:rsidRDefault="00C70CC5" w:rsidP="00184126">
            <w:pPr>
              <w:jc w:val="center"/>
              <w:rPr>
                <w:rFonts w:asciiTheme="majorHAnsi" w:hAnsiTheme="majorHAnsi" w:cstheme="majorHAnsi"/>
              </w:rPr>
            </w:pPr>
            <w:r w:rsidRPr="00B04371">
              <w:rPr>
                <w:rFonts w:asciiTheme="majorHAnsi" w:hAnsiTheme="majorHAnsi" w:cstheme="majorHAnsi"/>
              </w:rPr>
              <w:t>Usage/Gallons</w:t>
            </w:r>
          </w:p>
        </w:tc>
        <w:tc>
          <w:tcPr>
            <w:tcW w:w="1950" w:type="dxa"/>
          </w:tcPr>
          <w:p w14:paraId="7CC61B03" w14:textId="77777777" w:rsidR="00C70CC5" w:rsidRPr="00B04371" w:rsidRDefault="00C70CC5" w:rsidP="00184126">
            <w:pPr>
              <w:jc w:val="center"/>
              <w:rPr>
                <w:rFonts w:asciiTheme="majorHAnsi" w:hAnsiTheme="majorHAnsi" w:cstheme="majorHAnsi"/>
              </w:rPr>
            </w:pPr>
            <w:r w:rsidRPr="00B04371">
              <w:rPr>
                <w:rFonts w:asciiTheme="majorHAnsi" w:hAnsiTheme="majorHAnsi" w:cstheme="majorHAnsi"/>
              </w:rPr>
              <w:t>Usage Rate</w:t>
            </w:r>
          </w:p>
        </w:tc>
      </w:tr>
      <w:tr w:rsidR="00C70CC5" w:rsidRPr="00B04371" w14:paraId="5F28A2D6" w14:textId="77777777" w:rsidTr="00184126">
        <w:trPr>
          <w:trHeight w:val="335"/>
        </w:trPr>
        <w:tc>
          <w:tcPr>
            <w:tcW w:w="1757" w:type="dxa"/>
          </w:tcPr>
          <w:p w14:paraId="4A6AA14E" w14:textId="77777777" w:rsidR="00C70CC5" w:rsidRPr="00B04371" w:rsidRDefault="00C70CC5" w:rsidP="00184126">
            <w:pPr>
              <w:jc w:val="center"/>
              <w:rPr>
                <w:rFonts w:asciiTheme="majorHAnsi" w:hAnsiTheme="majorHAnsi" w:cstheme="majorHAnsi"/>
              </w:rPr>
            </w:pPr>
            <w:r w:rsidRPr="00B04371">
              <w:rPr>
                <w:rFonts w:asciiTheme="majorHAnsi" w:hAnsiTheme="majorHAnsi" w:cstheme="majorHAnsi"/>
              </w:rPr>
              <w:t>1.0 – 49,999</w:t>
            </w:r>
          </w:p>
        </w:tc>
        <w:tc>
          <w:tcPr>
            <w:tcW w:w="1950" w:type="dxa"/>
          </w:tcPr>
          <w:p w14:paraId="77BB152F" w14:textId="77777777" w:rsidR="00C70CC5" w:rsidRPr="00B04371" w:rsidRDefault="00C70CC5" w:rsidP="00184126">
            <w:pPr>
              <w:jc w:val="center"/>
              <w:rPr>
                <w:rFonts w:asciiTheme="majorHAnsi" w:hAnsiTheme="majorHAnsi" w:cstheme="majorHAnsi"/>
              </w:rPr>
            </w:pPr>
            <w:r w:rsidRPr="00B04371">
              <w:rPr>
                <w:rFonts w:asciiTheme="majorHAnsi" w:hAnsiTheme="majorHAnsi" w:cstheme="majorHAnsi"/>
              </w:rPr>
              <w:t>$.00404/gal used</w:t>
            </w:r>
          </w:p>
        </w:tc>
      </w:tr>
      <w:tr w:rsidR="00C70CC5" w:rsidRPr="00B04371" w14:paraId="19CC0155" w14:textId="77777777" w:rsidTr="00184126">
        <w:trPr>
          <w:trHeight w:val="443"/>
        </w:trPr>
        <w:tc>
          <w:tcPr>
            <w:tcW w:w="1757" w:type="dxa"/>
          </w:tcPr>
          <w:p w14:paraId="34FBC1D6" w14:textId="77777777" w:rsidR="00C70CC5" w:rsidRPr="00B04371" w:rsidRDefault="00C70CC5" w:rsidP="00184126">
            <w:pPr>
              <w:jc w:val="center"/>
              <w:rPr>
                <w:rFonts w:asciiTheme="majorHAnsi" w:hAnsiTheme="majorHAnsi" w:cstheme="majorHAnsi"/>
              </w:rPr>
            </w:pPr>
            <w:r w:rsidRPr="00B04371">
              <w:rPr>
                <w:rFonts w:asciiTheme="majorHAnsi" w:hAnsiTheme="majorHAnsi" w:cstheme="majorHAnsi"/>
              </w:rPr>
              <w:t>50,000+</w:t>
            </w:r>
          </w:p>
        </w:tc>
        <w:tc>
          <w:tcPr>
            <w:tcW w:w="1950" w:type="dxa"/>
          </w:tcPr>
          <w:p w14:paraId="3947FD45" w14:textId="77777777" w:rsidR="00C70CC5" w:rsidRPr="00B04371" w:rsidRDefault="00C70CC5" w:rsidP="00184126">
            <w:pPr>
              <w:jc w:val="center"/>
              <w:rPr>
                <w:rFonts w:asciiTheme="majorHAnsi" w:hAnsiTheme="majorHAnsi" w:cstheme="majorHAnsi"/>
              </w:rPr>
            </w:pPr>
            <w:r w:rsidRPr="00B04371">
              <w:rPr>
                <w:rFonts w:asciiTheme="majorHAnsi" w:hAnsiTheme="majorHAnsi" w:cstheme="majorHAnsi"/>
              </w:rPr>
              <w:t>$.020/gal used</w:t>
            </w:r>
          </w:p>
        </w:tc>
      </w:tr>
    </w:tbl>
    <w:p w14:paraId="425BD55F" w14:textId="77777777" w:rsidR="00C70CC5" w:rsidRPr="00B04371" w:rsidRDefault="00C70CC5" w:rsidP="00C70CC5">
      <w:pPr>
        <w:tabs>
          <w:tab w:val="center" w:pos="2910"/>
        </w:tabs>
        <w:rPr>
          <w:rFonts w:asciiTheme="majorHAnsi" w:hAnsiTheme="majorHAnsi" w:cstheme="majorHAnsi"/>
        </w:rPr>
      </w:pPr>
      <w:r w:rsidRPr="00B04371">
        <w:rPr>
          <w:rFonts w:asciiTheme="majorHAnsi" w:hAnsiTheme="majorHAnsi" w:cstheme="majorHAnsi"/>
        </w:rPr>
        <w:t xml:space="preserve">            </w:t>
      </w:r>
      <w:r w:rsidRPr="00B04371">
        <w:rPr>
          <w:rFonts w:asciiTheme="majorHAnsi" w:hAnsiTheme="majorHAnsi" w:cstheme="majorHAnsi"/>
        </w:rPr>
        <w:br w:type="textWrapping" w:clear="all"/>
        <w:t xml:space="preserve">                                                                                                                                                                                                                           </w:t>
      </w:r>
    </w:p>
    <w:p w14:paraId="474EAB15" w14:textId="77777777" w:rsidR="00B04371" w:rsidRDefault="00B04371" w:rsidP="00B04371">
      <w:pPr>
        <w:tabs>
          <w:tab w:val="left" w:pos="2085"/>
        </w:tabs>
        <w:rPr>
          <w:rFonts w:asciiTheme="majorHAnsi" w:hAnsiTheme="majorHAnsi" w:cstheme="majorHAnsi"/>
        </w:rPr>
      </w:pPr>
      <w:r w:rsidRPr="00B04371">
        <w:rPr>
          <w:rFonts w:asciiTheme="majorHAnsi" w:hAnsiTheme="majorHAnsi" w:cstheme="majorHAnsi"/>
        </w:rPr>
        <w:t xml:space="preserve">Example 1: Account 150 has a 3/4” service line and used 4,280 gallons in the month of June. The bill would be figured as follows: </w:t>
      </w:r>
      <w:proofErr w:type="gramStart"/>
      <w:r w:rsidRPr="00B04371">
        <w:rPr>
          <w:rFonts w:asciiTheme="majorHAnsi" w:hAnsiTheme="majorHAnsi" w:cstheme="majorHAnsi"/>
        </w:rPr>
        <w:t>4,280 gal</w:t>
      </w:r>
      <w:proofErr w:type="gramEnd"/>
      <w:r w:rsidRPr="00B04371">
        <w:rPr>
          <w:rFonts w:asciiTheme="majorHAnsi" w:hAnsiTheme="majorHAnsi" w:cstheme="majorHAnsi"/>
        </w:rPr>
        <w:t xml:space="preserve"> X .00302/gal + $61.00 right to serve fee (base rate) = $73.93 will be billed for water.</w:t>
      </w:r>
    </w:p>
    <w:p w14:paraId="2CEB4DB0" w14:textId="00BBFFBD" w:rsidR="00B04371" w:rsidRPr="00B04371" w:rsidRDefault="00B04371" w:rsidP="00B04371">
      <w:pPr>
        <w:tabs>
          <w:tab w:val="left" w:pos="2085"/>
        </w:tabs>
        <w:rPr>
          <w:rFonts w:asciiTheme="majorHAnsi" w:hAnsiTheme="majorHAnsi" w:cstheme="majorHAnsi"/>
        </w:rPr>
      </w:pPr>
      <w:r w:rsidRPr="00B04371">
        <w:rPr>
          <w:rFonts w:asciiTheme="majorHAnsi" w:hAnsiTheme="majorHAnsi" w:cstheme="majorHAnsi"/>
        </w:rPr>
        <w:t xml:space="preserve"> </w:t>
      </w:r>
    </w:p>
    <w:p w14:paraId="7E4094DE" w14:textId="73E979BD" w:rsidR="00B25242" w:rsidRDefault="00B04371" w:rsidP="00B04371">
      <w:pPr>
        <w:tabs>
          <w:tab w:val="left" w:pos="2085"/>
        </w:tabs>
        <w:rPr>
          <w:rFonts w:asciiTheme="majorHAnsi" w:hAnsiTheme="majorHAnsi" w:cstheme="majorHAnsi"/>
        </w:rPr>
      </w:pPr>
      <w:r w:rsidRPr="00B04371">
        <w:rPr>
          <w:rFonts w:asciiTheme="majorHAnsi" w:hAnsiTheme="majorHAnsi" w:cstheme="majorHAnsi"/>
        </w:rPr>
        <w:t xml:space="preserve">Example 2: Account 150 has a 3/4" service line and used 25,000 gallons in the month of June. The bill would be figured as follows: </w:t>
      </w:r>
      <w:proofErr w:type="gramStart"/>
      <w:r w:rsidRPr="00B04371">
        <w:rPr>
          <w:rFonts w:asciiTheme="majorHAnsi" w:hAnsiTheme="majorHAnsi" w:cstheme="majorHAnsi"/>
        </w:rPr>
        <w:t>19,999 gal</w:t>
      </w:r>
      <w:proofErr w:type="gramEnd"/>
      <w:r w:rsidRPr="00B04371">
        <w:rPr>
          <w:rFonts w:asciiTheme="majorHAnsi" w:hAnsiTheme="majorHAnsi" w:cstheme="majorHAnsi"/>
        </w:rPr>
        <w:t xml:space="preserve"> X .00302/gal + 5,001 gal X .020/gal + $61.00 right to serve fee (base rate) = $221.42 will be billed for water.</w:t>
      </w:r>
      <w:r w:rsidR="00C70CC5" w:rsidRPr="00B04371">
        <w:rPr>
          <w:rFonts w:asciiTheme="majorHAnsi" w:hAnsiTheme="majorHAnsi" w:cstheme="majorHAnsi"/>
        </w:rPr>
        <w:tab/>
        <w:t xml:space="preserve">                               </w:t>
      </w:r>
    </w:p>
    <w:p w14:paraId="4024BBEF" w14:textId="77777777" w:rsidR="00B04371" w:rsidRPr="00B04371" w:rsidRDefault="00B04371" w:rsidP="00B04371">
      <w:pPr>
        <w:tabs>
          <w:tab w:val="left" w:pos="2085"/>
        </w:tabs>
        <w:rPr>
          <w:rFonts w:asciiTheme="majorHAnsi" w:hAnsiTheme="majorHAnsi" w:cstheme="majorHAnsi"/>
        </w:rPr>
      </w:pPr>
    </w:p>
    <w:p w14:paraId="538CDA6D" w14:textId="77777777" w:rsidR="00715D10" w:rsidRDefault="00715D10" w:rsidP="00715D10">
      <w:pPr>
        <w:rPr>
          <w:rFonts w:asciiTheme="majorHAnsi" w:hAnsiTheme="majorHAnsi" w:cstheme="majorHAnsi"/>
        </w:rPr>
      </w:pPr>
      <w:r w:rsidRPr="001030B1">
        <w:rPr>
          <w:rFonts w:asciiTheme="majorHAnsi" w:hAnsiTheme="majorHAnsi" w:cstheme="majorHAnsi"/>
        </w:rPr>
        <w:t xml:space="preserve">The Town of Rye has identified customers with </w:t>
      </w:r>
      <w:r w:rsidRPr="001030B1">
        <w:rPr>
          <w:rFonts w:asciiTheme="majorHAnsi" w:hAnsiTheme="majorHAnsi" w:cstheme="majorHAnsi"/>
          <w:b/>
          <w:bCs/>
        </w:rPr>
        <w:t xml:space="preserve">multiple efficiency units* </w:t>
      </w:r>
      <w:r w:rsidRPr="001030B1">
        <w:rPr>
          <w:rFonts w:asciiTheme="majorHAnsi" w:hAnsiTheme="majorHAnsi" w:cstheme="majorHAnsi"/>
        </w:rPr>
        <w:t>receiving water through a single meter associated with the property. The principal connection will be charged per month based on meter size rate, plus usage, AND plus an additional fee of $40.00 for each efficiency unit on that property that is served by the property’s single meter.</w:t>
      </w:r>
    </w:p>
    <w:p w14:paraId="2A0CF0CC" w14:textId="77777777" w:rsidR="00715D10" w:rsidRPr="001030B1" w:rsidRDefault="00715D10" w:rsidP="00715D10">
      <w:pPr>
        <w:rPr>
          <w:rFonts w:asciiTheme="majorHAnsi" w:hAnsiTheme="majorHAnsi" w:cstheme="majorHAnsi"/>
        </w:rPr>
      </w:pPr>
    </w:p>
    <w:p w14:paraId="5DA458BE" w14:textId="77777777" w:rsidR="00715D10" w:rsidRPr="001030B1" w:rsidRDefault="00715D10" w:rsidP="00715D10">
      <w:pPr>
        <w:rPr>
          <w:rFonts w:asciiTheme="majorHAnsi" w:hAnsiTheme="majorHAnsi" w:cstheme="majorHAnsi"/>
          <w:b/>
          <w:bCs/>
          <w:u w:val="single"/>
        </w:rPr>
      </w:pPr>
      <w:r w:rsidRPr="001030B1">
        <w:rPr>
          <w:rFonts w:asciiTheme="majorHAnsi" w:hAnsiTheme="majorHAnsi" w:cstheme="majorHAnsi"/>
          <w:b/>
          <w:bCs/>
          <w:u w:val="single"/>
        </w:rPr>
        <w:t xml:space="preserve">Sewer: </w:t>
      </w:r>
    </w:p>
    <w:p w14:paraId="04ED665D" w14:textId="77777777" w:rsidR="00715D10" w:rsidRDefault="00715D10" w:rsidP="00715D10">
      <w:pPr>
        <w:rPr>
          <w:rFonts w:asciiTheme="majorHAnsi" w:hAnsiTheme="majorHAnsi" w:cstheme="majorHAnsi"/>
        </w:rPr>
      </w:pPr>
      <w:r w:rsidRPr="001030B1">
        <w:rPr>
          <w:rFonts w:asciiTheme="majorHAnsi" w:hAnsiTheme="majorHAnsi" w:cstheme="majorHAnsi"/>
        </w:rPr>
        <w:t xml:space="preserve">Sewer charges are determined yearly for each customer by averaging individual water consumption for the months of December, January, and February and adding the right to serve sewer fee of $29.64/month. The months of December, January, and February are used to determine the average water consumption because water usage is generally at the lowest per individual customer. </w:t>
      </w:r>
    </w:p>
    <w:p w14:paraId="09E470FA" w14:textId="77777777" w:rsidR="00715D10" w:rsidRPr="001030B1" w:rsidRDefault="00715D10" w:rsidP="00715D10">
      <w:pPr>
        <w:rPr>
          <w:rFonts w:asciiTheme="majorHAnsi" w:hAnsiTheme="majorHAnsi" w:cstheme="majorHAnsi"/>
          <w:b/>
          <w:bCs/>
        </w:rPr>
      </w:pPr>
    </w:p>
    <w:p w14:paraId="227CC27F" w14:textId="77777777" w:rsidR="00715D10" w:rsidRPr="001030B1" w:rsidRDefault="00715D10" w:rsidP="00715D10">
      <w:pPr>
        <w:rPr>
          <w:rFonts w:asciiTheme="majorHAnsi" w:hAnsiTheme="majorHAnsi" w:cstheme="majorHAnsi"/>
        </w:rPr>
      </w:pPr>
      <w:r w:rsidRPr="001030B1">
        <w:rPr>
          <w:rFonts w:asciiTheme="majorHAnsi" w:hAnsiTheme="majorHAnsi" w:cstheme="majorHAnsi"/>
        </w:rPr>
        <w:t xml:space="preserve">To meet the financial needs of providing wastewater treatment to the residents of the Town of Rye, the following right to serve fee (base rate) and consumption averages fees are proposed: </w:t>
      </w:r>
    </w:p>
    <w:p w14:paraId="4A1B05AA" w14:textId="77777777" w:rsidR="009327EC" w:rsidRDefault="009327EC" w:rsidP="00715D10">
      <w:pPr>
        <w:rPr>
          <w:rFonts w:asciiTheme="majorHAnsi" w:hAnsiTheme="majorHAnsi" w:cstheme="majorHAnsi"/>
        </w:rPr>
      </w:pPr>
    </w:p>
    <w:p w14:paraId="273E4B45" w14:textId="689F80BF" w:rsidR="00715D10" w:rsidRDefault="00715D10" w:rsidP="00715D10">
      <w:pPr>
        <w:rPr>
          <w:rFonts w:asciiTheme="majorHAnsi" w:hAnsiTheme="majorHAnsi" w:cstheme="majorHAnsi"/>
        </w:rPr>
      </w:pPr>
      <w:r w:rsidRPr="001030B1">
        <w:rPr>
          <w:rFonts w:asciiTheme="majorHAnsi" w:hAnsiTheme="majorHAnsi" w:cstheme="majorHAnsi"/>
        </w:rPr>
        <w:t xml:space="preserve">All customers will be charged a flat fee of $29.64 per month for right to serve (base rate) for wastewater treatment. Additionally, customers will be charged per month for the average usage as follows: </w:t>
      </w:r>
    </w:p>
    <w:p w14:paraId="672103BB" w14:textId="77777777" w:rsidR="00715D10" w:rsidRPr="001030B1" w:rsidRDefault="00715D10" w:rsidP="00715D10">
      <w:pPr>
        <w:rPr>
          <w:rFonts w:asciiTheme="majorHAnsi" w:hAnsiTheme="majorHAnsi" w:cstheme="majorHAnsi"/>
        </w:rPr>
      </w:pPr>
    </w:p>
    <w:p w14:paraId="1BDA5456" w14:textId="77777777" w:rsidR="00715D10" w:rsidRPr="001030B1" w:rsidRDefault="00715D10" w:rsidP="00715D10">
      <w:pPr>
        <w:rPr>
          <w:rFonts w:asciiTheme="majorHAnsi" w:hAnsiTheme="majorHAnsi" w:cstheme="majorHAnsi"/>
        </w:rPr>
      </w:pPr>
      <w:r w:rsidRPr="001030B1">
        <w:rPr>
          <w:rFonts w:asciiTheme="majorHAnsi" w:hAnsiTheme="majorHAnsi" w:cstheme="majorHAnsi"/>
        </w:rPr>
        <w:t xml:space="preserve">3/4"and 1" .005/gal of the average water consumption of Dec., Jan., Feb. </w:t>
      </w:r>
    </w:p>
    <w:p w14:paraId="21E2188C" w14:textId="77777777" w:rsidR="00715D10" w:rsidRPr="001030B1" w:rsidRDefault="00715D10" w:rsidP="00715D10">
      <w:pPr>
        <w:rPr>
          <w:rFonts w:asciiTheme="majorHAnsi" w:hAnsiTheme="majorHAnsi" w:cstheme="majorHAnsi"/>
        </w:rPr>
      </w:pPr>
      <w:r w:rsidRPr="001030B1">
        <w:rPr>
          <w:rFonts w:asciiTheme="majorHAnsi" w:hAnsiTheme="majorHAnsi" w:cstheme="majorHAnsi"/>
        </w:rPr>
        <w:t>1½" and 2" .00697 /gal of the average water consumption of Dec., Jan., Feb.</w:t>
      </w:r>
    </w:p>
    <w:p w14:paraId="46ABF712" w14:textId="77777777" w:rsidR="000800F5" w:rsidRDefault="000800F5" w:rsidP="00715D10">
      <w:pPr>
        <w:rPr>
          <w:rFonts w:asciiTheme="majorHAnsi" w:hAnsiTheme="majorHAnsi" w:cstheme="majorHAnsi"/>
        </w:rPr>
      </w:pPr>
    </w:p>
    <w:p w14:paraId="79D47A43" w14:textId="702B42BB" w:rsidR="00715D10" w:rsidRDefault="00715D10" w:rsidP="00715D10">
      <w:pPr>
        <w:rPr>
          <w:rFonts w:asciiTheme="majorHAnsi" w:hAnsiTheme="majorHAnsi" w:cstheme="majorHAnsi"/>
        </w:rPr>
      </w:pPr>
      <w:r w:rsidRPr="001030B1">
        <w:rPr>
          <w:rFonts w:asciiTheme="majorHAnsi" w:hAnsiTheme="majorHAnsi" w:cstheme="majorHAnsi"/>
        </w:rPr>
        <w:t xml:space="preserve">Example: Account 150 has a 3/4" meter and averaged 2,160 gal of water consumed for the months of Dec., Jan., and Feb. 2,160 gal X .005/gal + $29.64 right to serve fee (base rate) = $40.44. Account 150 would know their sewer fee would be $40.44 each month for the entire year. </w:t>
      </w:r>
    </w:p>
    <w:p w14:paraId="0765D4C0" w14:textId="77777777" w:rsidR="009327EC" w:rsidRPr="001030B1" w:rsidRDefault="009327EC" w:rsidP="00715D10">
      <w:pPr>
        <w:rPr>
          <w:rFonts w:asciiTheme="majorHAnsi" w:hAnsiTheme="majorHAnsi" w:cstheme="majorHAnsi"/>
        </w:rPr>
      </w:pPr>
    </w:p>
    <w:p w14:paraId="67636083" w14:textId="77777777" w:rsidR="00715D10" w:rsidRDefault="00715D10" w:rsidP="00715D10">
      <w:pPr>
        <w:rPr>
          <w:rFonts w:asciiTheme="majorHAnsi" w:hAnsiTheme="majorHAnsi" w:cstheme="majorHAnsi"/>
        </w:rPr>
      </w:pPr>
      <w:r w:rsidRPr="001030B1">
        <w:rPr>
          <w:rFonts w:asciiTheme="majorHAnsi" w:hAnsiTheme="majorHAnsi" w:cstheme="majorHAnsi"/>
        </w:rPr>
        <w:t xml:space="preserve">The Town of Rye has identified customers with </w:t>
      </w:r>
      <w:r w:rsidRPr="001030B1">
        <w:rPr>
          <w:rFonts w:asciiTheme="majorHAnsi" w:hAnsiTheme="majorHAnsi" w:cstheme="majorHAnsi"/>
          <w:b/>
          <w:bCs/>
        </w:rPr>
        <w:t>multiple efficiency units</w:t>
      </w:r>
      <w:r w:rsidRPr="001030B1">
        <w:rPr>
          <w:rFonts w:asciiTheme="majorHAnsi" w:hAnsiTheme="majorHAnsi" w:cstheme="majorHAnsi"/>
        </w:rPr>
        <w:t>* that are connected to the town sewer main through one connection. The principal connection will be charged per month based on meter size rate, plus usage average, AND plus an addition fee of $15.00 for each efficiency unit on the property that is served by the property's single sewer main connection.</w:t>
      </w:r>
    </w:p>
    <w:p w14:paraId="04F0B744" w14:textId="77777777" w:rsidR="009327EC" w:rsidRPr="001030B1" w:rsidRDefault="009327EC" w:rsidP="00715D10">
      <w:pPr>
        <w:rPr>
          <w:rFonts w:asciiTheme="majorHAnsi" w:hAnsiTheme="majorHAnsi" w:cstheme="majorHAnsi"/>
        </w:rPr>
      </w:pPr>
    </w:p>
    <w:p w14:paraId="6A7A6B50" w14:textId="77777777" w:rsidR="00715D10" w:rsidRDefault="00715D10" w:rsidP="00715D10">
      <w:pPr>
        <w:rPr>
          <w:rFonts w:asciiTheme="majorHAnsi" w:hAnsiTheme="majorHAnsi" w:cstheme="majorHAnsi"/>
        </w:rPr>
      </w:pPr>
      <w:r w:rsidRPr="001030B1">
        <w:rPr>
          <w:rFonts w:asciiTheme="majorHAnsi" w:hAnsiTheme="majorHAnsi" w:cstheme="majorHAnsi"/>
        </w:rPr>
        <w:t>For sewer billing purposes, water consumption for Dec., Jan., and Feb. will be recalculated yearly in the month of February to be used in the following year. The new water and sewer fees will appear in the January billing of each year, beginning in 2023.</w:t>
      </w:r>
    </w:p>
    <w:p w14:paraId="7B2BC44D" w14:textId="77777777" w:rsidR="009327EC" w:rsidRPr="001030B1" w:rsidRDefault="009327EC" w:rsidP="00715D10">
      <w:pPr>
        <w:rPr>
          <w:rFonts w:asciiTheme="majorHAnsi" w:hAnsiTheme="majorHAnsi" w:cstheme="majorHAnsi"/>
        </w:rPr>
      </w:pPr>
    </w:p>
    <w:p w14:paraId="7573C136" w14:textId="77777777" w:rsidR="00715D10" w:rsidRPr="001030B1" w:rsidRDefault="00715D10" w:rsidP="00715D10">
      <w:pPr>
        <w:rPr>
          <w:rFonts w:asciiTheme="majorHAnsi" w:hAnsiTheme="majorHAnsi" w:cstheme="majorHAnsi"/>
        </w:rPr>
      </w:pPr>
      <w:r w:rsidRPr="001030B1">
        <w:rPr>
          <w:rFonts w:asciiTheme="majorHAnsi" w:hAnsiTheme="majorHAnsi" w:cstheme="majorHAnsi"/>
          <w:b/>
          <w:bCs/>
        </w:rPr>
        <w:t>*Efficiency Unit</w:t>
      </w:r>
      <w:r w:rsidRPr="001030B1">
        <w:rPr>
          <w:rFonts w:asciiTheme="majorHAnsi" w:hAnsiTheme="majorHAnsi" w:cstheme="majorHAnsi"/>
        </w:rPr>
        <w:t xml:space="preserve"> is any unit in addition to the principal connection (i.e. multiple connections on the same line). Additionally, efficiency units have not been permitted since Ordinance 2020-9 "Ordinance to Require Water/Sewer Tap for Every Single-Family Home and Commercial Residential/Multi-Family Properties to Require Board Approval for Water and Sewer Taps Prior to Construction Beginning" was enacted on May 13, 2020.</w:t>
      </w:r>
    </w:p>
    <w:p w14:paraId="68F4F3B9" w14:textId="7A5B727E" w:rsidR="009C3CC3" w:rsidRPr="00B04371" w:rsidRDefault="009C3CC3" w:rsidP="00170CB9">
      <w:pPr>
        <w:rPr>
          <w:rFonts w:asciiTheme="majorHAnsi" w:hAnsiTheme="majorHAnsi" w:cstheme="majorHAnsi"/>
        </w:rPr>
      </w:pPr>
    </w:p>
    <w:sectPr w:rsidR="009C3CC3" w:rsidRPr="00B04371" w:rsidSect="00170C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6D48D8"/>
    <w:multiLevelType w:val="hybridMultilevel"/>
    <w:tmpl w:val="6F64D5A4"/>
    <w:lvl w:ilvl="0" w:tplc="EA183526">
      <w:start w:val="1"/>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B94A8D"/>
    <w:multiLevelType w:val="multilevel"/>
    <w:tmpl w:val="7D4EB06E"/>
    <w:lvl w:ilvl="0">
      <w:start w:val="1"/>
      <w:numFmt w:val="decimal"/>
      <w:lvlText w:val="%1"/>
      <w:lvlJc w:val="left"/>
      <w:pPr>
        <w:ind w:left="360" w:hanging="360"/>
      </w:pPr>
      <w:rPr>
        <w:rFonts w:hint="default"/>
      </w:rPr>
    </w:lvl>
    <w:lvl w:ilvl="1">
      <w:start w:val="5"/>
      <w:numFmt w:val="decimal"/>
      <w:lvlText w:val="%1.%2"/>
      <w:lvlJc w:val="left"/>
      <w:pPr>
        <w:ind w:left="1120" w:hanging="360"/>
      </w:pPr>
      <w:rPr>
        <w:rFonts w:hint="default"/>
      </w:rPr>
    </w:lvl>
    <w:lvl w:ilvl="2">
      <w:start w:val="1"/>
      <w:numFmt w:val="decimal"/>
      <w:lvlText w:val="%1.%2.%3"/>
      <w:lvlJc w:val="left"/>
      <w:pPr>
        <w:ind w:left="2240" w:hanging="720"/>
      </w:pPr>
      <w:rPr>
        <w:rFonts w:hint="default"/>
      </w:rPr>
    </w:lvl>
    <w:lvl w:ilvl="3">
      <w:start w:val="1"/>
      <w:numFmt w:val="decimal"/>
      <w:lvlText w:val="%1.%2.%3.%4"/>
      <w:lvlJc w:val="left"/>
      <w:pPr>
        <w:ind w:left="3000" w:hanging="720"/>
      </w:pPr>
      <w:rPr>
        <w:rFonts w:hint="default"/>
      </w:rPr>
    </w:lvl>
    <w:lvl w:ilvl="4">
      <w:start w:val="1"/>
      <w:numFmt w:val="decimal"/>
      <w:lvlText w:val="%1.%2.%3.%4.%5"/>
      <w:lvlJc w:val="left"/>
      <w:pPr>
        <w:ind w:left="4120" w:hanging="1080"/>
      </w:pPr>
      <w:rPr>
        <w:rFonts w:hint="default"/>
      </w:rPr>
    </w:lvl>
    <w:lvl w:ilvl="5">
      <w:start w:val="1"/>
      <w:numFmt w:val="decimal"/>
      <w:lvlText w:val="%1.%2.%3.%4.%5.%6"/>
      <w:lvlJc w:val="left"/>
      <w:pPr>
        <w:ind w:left="4880" w:hanging="1080"/>
      </w:pPr>
      <w:rPr>
        <w:rFonts w:hint="default"/>
      </w:rPr>
    </w:lvl>
    <w:lvl w:ilvl="6">
      <w:start w:val="1"/>
      <w:numFmt w:val="decimal"/>
      <w:lvlText w:val="%1.%2.%3.%4.%5.%6.%7"/>
      <w:lvlJc w:val="left"/>
      <w:pPr>
        <w:ind w:left="6000" w:hanging="1440"/>
      </w:pPr>
      <w:rPr>
        <w:rFonts w:hint="default"/>
      </w:rPr>
    </w:lvl>
    <w:lvl w:ilvl="7">
      <w:start w:val="1"/>
      <w:numFmt w:val="decimal"/>
      <w:lvlText w:val="%1.%2.%3.%4.%5.%6.%7.%8"/>
      <w:lvlJc w:val="left"/>
      <w:pPr>
        <w:ind w:left="6760" w:hanging="1440"/>
      </w:pPr>
      <w:rPr>
        <w:rFonts w:hint="default"/>
      </w:rPr>
    </w:lvl>
    <w:lvl w:ilvl="8">
      <w:start w:val="1"/>
      <w:numFmt w:val="decimal"/>
      <w:lvlText w:val="%1.%2.%3.%4.%5.%6.%7.%8.%9"/>
      <w:lvlJc w:val="left"/>
      <w:pPr>
        <w:ind w:left="7880" w:hanging="1800"/>
      </w:pPr>
      <w:rPr>
        <w:rFonts w:hint="default"/>
      </w:rPr>
    </w:lvl>
  </w:abstractNum>
  <w:abstractNum w:abstractNumId="2" w15:restartNumberingAfterBreak="0">
    <w:nsid w:val="37445F33"/>
    <w:multiLevelType w:val="hybridMultilevel"/>
    <w:tmpl w:val="D3DC6118"/>
    <w:lvl w:ilvl="0" w:tplc="471EA7DA">
      <w:start w:val="1"/>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8C11EA"/>
    <w:multiLevelType w:val="hybridMultilevel"/>
    <w:tmpl w:val="4C04A028"/>
    <w:lvl w:ilvl="0" w:tplc="18802CD4">
      <w:start w:val="1"/>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DE2C5A"/>
    <w:multiLevelType w:val="hybridMultilevel"/>
    <w:tmpl w:val="171E5642"/>
    <w:lvl w:ilvl="0" w:tplc="BC42DFBE">
      <w:start w:val="1"/>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9607279">
    <w:abstractNumId w:val="4"/>
  </w:num>
  <w:num w:numId="2" w16cid:durableId="154542266">
    <w:abstractNumId w:val="3"/>
  </w:num>
  <w:num w:numId="3" w16cid:durableId="923883731">
    <w:abstractNumId w:val="0"/>
  </w:num>
  <w:num w:numId="4" w16cid:durableId="591008871">
    <w:abstractNumId w:val="1"/>
  </w:num>
  <w:num w:numId="5" w16cid:durableId="8903391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622"/>
    <w:rsid w:val="00065159"/>
    <w:rsid w:val="000800F5"/>
    <w:rsid w:val="000B0DB6"/>
    <w:rsid w:val="000B65B8"/>
    <w:rsid w:val="00170CB9"/>
    <w:rsid w:val="001A78A7"/>
    <w:rsid w:val="001E7204"/>
    <w:rsid w:val="00224365"/>
    <w:rsid w:val="0035580D"/>
    <w:rsid w:val="004725D5"/>
    <w:rsid w:val="00476446"/>
    <w:rsid w:val="005C7D13"/>
    <w:rsid w:val="006225C7"/>
    <w:rsid w:val="0067635B"/>
    <w:rsid w:val="00687F1D"/>
    <w:rsid w:val="006C7C44"/>
    <w:rsid w:val="006D339E"/>
    <w:rsid w:val="00700D88"/>
    <w:rsid w:val="00715D10"/>
    <w:rsid w:val="007B747C"/>
    <w:rsid w:val="008F1135"/>
    <w:rsid w:val="009327EC"/>
    <w:rsid w:val="009C3CC3"/>
    <w:rsid w:val="00A23DD6"/>
    <w:rsid w:val="00A55D4F"/>
    <w:rsid w:val="00B04371"/>
    <w:rsid w:val="00B25242"/>
    <w:rsid w:val="00B841B6"/>
    <w:rsid w:val="00B95647"/>
    <w:rsid w:val="00BC2FCA"/>
    <w:rsid w:val="00C44E9F"/>
    <w:rsid w:val="00C70CC5"/>
    <w:rsid w:val="00C951D2"/>
    <w:rsid w:val="00CA7D88"/>
    <w:rsid w:val="00D47021"/>
    <w:rsid w:val="00D5216F"/>
    <w:rsid w:val="00DE218B"/>
    <w:rsid w:val="00E455C8"/>
    <w:rsid w:val="00EA1291"/>
    <w:rsid w:val="00F20622"/>
    <w:rsid w:val="00FE5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8012C"/>
  <w14:defaultImageDpi w14:val="32767"/>
  <w15:chartTrackingRefBased/>
  <w15:docId w15:val="{91EA8D81-26CB-8942-88D0-2145F2419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206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70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5249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651</Words>
  <Characters>3717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Rahl</dc:creator>
  <cp:keywords/>
  <dc:description/>
  <cp:lastModifiedBy>Jocelyn Ensley</cp:lastModifiedBy>
  <cp:revision>3</cp:revision>
  <dcterms:created xsi:type="dcterms:W3CDTF">2025-01-02T16:38:00Z</dcterms:created>
  <dcterms:modified xsi:type="dcterms:W3CDTF">2025-01-02T16:39:00Z</dcterms:modified>
</cp:coreProperties>
</file>